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6E27D" w14:textId="77777777" w:rsidR="00B0059B" w:rsidRPr="00FD2DE6" w:rsidRDefault="00B0059B" w:rsidP="00B0059B">
      <w:pPr>
        <w:pBdr>
          <w:top w:val="nil"/>
          <w:left w:val="nil"/>
          <w:bottom w:val="nil"/>
          <w:right w:val="nil"/>
          <w:between w:val="nil"/>
        </w:pBdr>
        <w:spacing w:line="360" w:lineRule="auto"/>
        <w:ind w:left="1440" w:hanging="1440"/>
        <w:jc w:val="center"/>
        <w:rPr>
          <w:rFonts w:ascii="Montserrat" w:hAnsi="Montserrat"/>
          <w:b/>
          <w:bCs/>
        </w:rPr>
      </w:pPr>
      <w:bookmarkStart w:id="0" w:name="_Hlk172655626"/>
      <w:bookmarkStart w:id="1" w:name="_Hlk157387237"/>
      <w:bookmarkEnd w:id="0"/>
      <w:r w:rsidRPr="00FD2DE6">
        <w:rPr>
          <w:rFonts w:ascii="Montserrat" w:hAnsi="Montserrat"/>
          <w:b/>
          <w:bCs/>
        </w:rPr>
        <w:t xml:space="preserve">NOTAS A LOS ESTADOS FINANCIEROS CONSOLIDADOS </w:t>
      </w:r>
    </w:p>
    <w:p w14:paraId="4BABB5FE" w14:textId="77777777" w:rsidR="00B0059B"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FD2DE6">
        <w:rPr>
          <w:rFonts w:ascii="Montserrat" w:hAnsi="Montserrat"/>
          <w:b/>
          <w:bCs/>
        </w:rPr>
        <w:t>DEL PODER EJECUTIVO</w:t>
      </w:r>
    </w:p>
    <w:p w14:paraId="79446079" w14:textId="66507EDB" w:rsidR="00894E9E" w:rsidRPr="00FD2DE6" w:rsidRDefault="00894E9E" w:rsidP="00B0059B">
      <w:pPr>
        <w:pBdr>
          <w:top w:val="nil"/>
          <w:left w:val="nil"/>
          <w:bottom w:val="nil"/>
          <w:right w:val="nil"/>
          <w:between w:val="nil"/>
        </w:pBdr>
        <w:spacing w:line="360" w:lineRule="auto"/>
        <w:ind w:left="1440" w:hanging="1440"/>
        <w:jc w:val="center"/>
        <w:rPr>
          <w:rFonts w:ascii="Montserrat" w:hAnsi="Montserrat"/>
          <w:b/>
          <w:bCs/>
        </w:rPr>
      </w:pPr>
      <w:r>
        <w:rPr>
          <w:rFonts w:ascii="Montserrat" w:hAnsi="Montserrat"/>
          <w:b/>
          <w:bCs/>
        </w:rPr>
        <w:t>AL 31 DE DICIEMBRE DE 2024</w:t>
      </w:r>
    </w:p>
    <w:p w14:paraId="1571B049" w14:textId="77777777" w:rsidR="00B0059B" w:rsidRPr="00FD2DE6" w:rsidRDefault="00B0059B" w:rsidP="00B0059B">
      <w:pPr>
        <w:pBdr>
          <w:top w:val="nil"/>
          <w:left w:val="nil"/>
          <w:bottom w:val="nil"/>
          <w:right w:val="nil"/>
          <w:between w:val="nil"/>
        </w:pBdr>
        <w:spacing w:line="360" w:lineRule="auto"/>
        <w:jc w:val="both"/>
        <w:rPr>
          <w:rFonts w:ascii="Montserrat" w:hAnsi="Montserrat"/>
        </w:rPr>
      </w:pPr>
    </w:p>
    <w:p w14:paraId="4584A049" w14:textId="51EC3E0D" w:rsidR="00B0059B" w:rsidRPr="00FD2DE6" w:rsidRDefault="00B0059B" w:rsidP="00A700ED">
      <w:pPr>
        <w:pBdr>
          <w:top w:val="nil"/>
          <w:left w:val="nil"/>
          <w:bottom w:val="nil"/>
          <w:right w:val="nil"/>
          <w:between w:val="nil"/>
        </w:pBdr>
        <w:jc w:val="both"/>
        <w:rPr>
          <w:rFonts w:ascii="Montserrat" w:hAnsi="Montserrat"/>
        </w:rPr>
      </w:pPr>
      <w:r w:rsidRPr="00FD2DE6">
        <w:rPr>
          <w:rFonts w:ascii="Montserrat" w:hAnsi="Montserrat"/>
        </w:rPr>
        <w:t xml:space="preserve">Las notas a los Estados Financieros Consolidados del Poder Ejecutivo </w:t>
      </w:r>
      <w:r w:rsidR="00A700ED" w:rsidRPr="00A700ED">
        <w:rPr>
          <w:rFonts w:ascii="Montserrat" w:hAnsi="Montserrat"/>
        </w:rPr>
        <w:t>al 31 de diciembre del Ejercicio Fiscal 2024</w:t>
      </w:r>
      <w:r w:rsidRPr="00FD2DE6">
        <w:rPr>
          <w:rFonts w:ascii="Montserrat" w:hAnsi="Montserrat"/>
        </w:rPr>
        <w:t xml:space="preserve">, </w:t>
      </w:r>
      <w:r w:rsidR="00A700ED" w:rsidRPr="00A700ED">
        <w:rPr>
          <w:rFonts w:ascii="Montserrat" w:hAnsi="Montserrat"/>
        </w:rPr>
        <w:t>están estructuradas y elaboradas de conformidad con el artículo 46</w:t>
      </w:r>
      <w:r w:rsidR="00A700ED">
        <w:rPr>
          <w:rFonts w:ascii="Montserrat" w:hAnsi="Montserrat"/>
        </w:rPr>
        <w:t xml:space="preserve"> </w:t>
      </w:r>
      <w:r w:rsidR="00A700ED" w:rsidRPr="00A700ED">
        <w:rPr>
          <w:rFonts w:ascii="Montserrat" w:hAnsi="Montserrat"/>
        </w:rPr>
        <w:t>fracción I inciso g) y 49 de</w:t>
      </w:r>
      <w:r w:rsidR="00A700ED">
        <w:rPr>
          <w:rFonts w:ascii="Montserrat" w:hAnsi="Montserrat"/>
        </w:rPr>
        <w:t xml:space="preserve"> </w:t>
      </w:r>
      <w:r w:rsidR="00A700ED" w:rsidRPr="00A700ED">
        <w:rPr>
          <w:rFonts w:ascii="Montserrat" w:hAnsi="Montserrat"/>
        </w:rPr>
        <w:t>la Ley General de Contabilidad Gubernamental, así como a la normatividad</w:t>
      </w:r>
      <w:r w:rsidR="00A700ED">
        <w:rPr>
          <w:rFonts w:ascii="Montserrat" w:hAnsi="Montserrat"/>
        </w:rPr>
        <w:t xml:space="preserve"> </w:t>
      </w:r>
      <w:r w:rsidR="00A700ED" w:rsidRPr="00A700ED">
        <w:rPr>
          <w:rFonts w:ascii="Montserrat" w:hAnsi="Montserrat"/>
        </w:rPr>
        <w:t>emitida por el Consejo Nacional de Armonización Contable (CONAC), con</w:t>
      </w:r>
      <w:r w:rsidR="00A700ED">
        <w:rPr>
          <w:rFonts w:ascii="Montserrat" w:hAnsi="Montserrat"/>
        </w:rPr>
        <w:t xml:space="preserve"> </w:t>
      </w:r>
      <w:r w:rsidR="00A700ED" w:rsidRPr="00A700ED">
        <w:rPr>
          <w:rFonts w:ascii="Montserrat" w:hAnsi="Montserrat"/>
        </w:rPr>
        <w:t>los siguientes apartados</w:t>
      </w:r>
      <w:r w:rsidRPr="00FD2DE6">
        <w:rPr>
          <w:rFonts w:ascii="Montserrat" w:hAnsi="Montserrat"/>
        </w:rPr>
        <w:t>:</w:t>
      </w:r>
    </w:p>
    <w:p w14:paraId="0C05DA1A" w14:textId="77777777" w:rsidR="00B0059B" w:rsidRPr="00FD2DE6" w:rsidRDefault="00B0059B" w:rsidP="00B0059B">
      <w:pPr>
        <w:pBdr>
          <w:top w:val="nil"/>
          <w:left w:val="nil"/>
          <w:bottom w:val="nil"/>
          <w:right w:val="nil"/>
          <w:between w:val="nil"/>
        </w:pBdr>
        <w:jc w:val="both"/>
        <w:rPr>
          <w:rFonts w:ascii="Montserrat" w:hAnsi="Montserrat"/>
        </w:rPr>
      </w:pPr>
    </w:p>
    <w:p w14:paraId="578CD928" w14:textId="77777777" w:rsidR="00B0059B" w:rsidRPr="00FD2DE6" w:rsidRDefault="00B0059B" w:rsidP="00B0059B">
      <w:pPr>
        <w:numPr>
          <w:ilvl w:val="0"/>
          <w:numId w:val="1"/>
        </w:numPr>
        <w:pBdr>
          <w:top w:val="nil"/>
          <w:left w:val="nil"/>
          <w:bottom w:val="nil"/>
          <w:right w:val="nil"/>
          <w:between w:val="nil"/>
        </w:pBdr>
        <w:jc w:val="both"/>
        <w:rPr>
          <w:rFonts w:ascii="Montserrat" w:hAnsi="Montserrat"/>
        </w:rPr>
      </w:pPr>
      <w:r w:rsidRPr="00FD2DE6">
        <w:rPr>
          <w:rFonts w:ascii="Montserrat" w:hAnsi="Montserrat"/>
        </w:rPr>
        <w:t>Notas de Gestión Administrativa.</w:t>
      </w:r>
    </w:p>
    <w:p w14:paraId="5173B8D5" w14:textId="77777777" w:rsidR="00B0059B" w:rsidRPr="00FD2DE6" w:rsidRDefault="00B0059B" w:rsidP="00B0059B">
      <w:pPr>
        <w:numPr>
          <w:ilvl w:val="0"/>
          <w:numId w:val="1"/>
        </w:numPr>
        <w:pBdr>
          <w:top w:val="nil"/>
          <w:left w:val="nil"/>
          <w:bottom w:val="nil"/>
          <w:right w:val="nil"/>
          <w:between w:val="nil"/>
        </w:pBdr>
        <w:jc w:val="both"/>
        <w:rPr>
          <w:rFonts w:ascii="Montserrat" w:hAnsi="Montserrat"/>
        </w:rPr>
      </w:pPr>
      <w:r w:rsidRPr="00FD2DE6">
        <w:rPr>
          <w:rFonts w:ascii="Montserrat" w:hAnsi="Montserrat"/>
        </w:rPr>
        <w:t>Notas de Desglose.</w:t>
      </w:r>
    </w:p>
    <w:p w14:paraId="5F86B365" w14:textId="77777777" w:rsidR="00B0059B" w:rsidRPr="00FD2DE6" w:rsidRDefault="00B0059B" w:rsidP="00B0059B">
      <w:pPr>
        <w:numPr>
          <w:ilvl w:val="0"/>
          <w:numId w:val="1"/>
        </w:numPr>
        <w:pBdr>
          <w:top w:val="nil"/>
          <w:left w:val="nil"/>
          <w:bottom w:val="nil"/>
          <w:right w:val="nil"/>
          <w:between w:val="nil"/>
        </w:pBdr>
        <w:jc w:val="both"/>
        <w:rPr>
          <w:rFonts w:ascii="Montserrat" w:hAnsi="Montserrat"/>
        </w:rPr>
      </w:pPr>
      <w:r w:rsidRPr="00FD2DE6">
        <w:rPr>
          <w:rFonts w:ascii="Montserrat" w:hAnsi="Montserrat"/>
        </w:rPr>
        <w:t>Notas de Memoria.</w:t>
      </w:r>
    </w:p>
    <w:p w14:paraId="4D9D18BC" w14:textId="77777777" w:rsidR="00B0059B" w:rsidRPr="00FD2DE6" w:rsidRDefault="00B0059B" w:rsidP="00B0059B">
      <w:pPr>
        <w:jc w:val="both"/>
        <w:rPr>
          <w:rFonts w:ascii="Montserrat" w:hAnsi="Montserrat"/>
        </w:rPr>
      </w:pPr>
    </w:p>
    <w:p w14:paraId="1ECAC57B" w14:textId="77777777" w:rsidR="00B0059B" w:rsidRPr="00FD2DE6" w:rsidRDefault="00B0059B" w:rsidP="00B0059B">
      <w:pPr>
        <w:jc w:val="both"/>
        <w:rPr>
          <w:rFonts w:ascii="Montserrat" w:hAnsi="Montserrat"/>
        </w:rPr>
      </w:pPr>
    </w:p>
    <w:p w14:paraId="6406C9B6" w14:textId="77777777" w:rsidR="00B0059B" w:rsidRPr="00FD2DE6" w:rsidRDefault="00B0059B" w:rsidP="00B0059B">
      <w:pPr>
        <w:jc w:val="center"/>
        <w:rPr>
          <w:rFonts w:ascii="Montserrat" w:hAnsi="Montserrat"/>
          <w:b/>
        </w:rPr>
      </w:pPr>
      <w:bookmarkStart w:id="2" w:name="_Hlk157387195"/>
      <w:r w:rsidRPr="00FD2DE6">
        <w:rPr>
          <w:rFonts w:ascii="Montserrat" w:hAnsi="Montserrat"/>
          <w:b/>
        </w:rPr>
        <w:t>NOTAS DE GESTIÓN ADMINISTRATIVA</w:t>
      </w:r>
    </w:p>
    <w:bookmarkEnd w:id="2"/>
    <w:p w14:paraId="737536A3" w14:textId="77777777" w:rsidR="00B0059B" w:rsidRPr="00FD2DE6" w:rsidRDefault="00B0059B" w:rsidP="00B0059B">
      <w:pPr>
        <w:tabs>
          <w:tab w:val="left" w:pos="7260"/>
        </w:tabs>
        <w:jc w:val="both"/>
        <w:rPr>
          <w:rFonts w:ascii="Montserrat" w:eastAsia="Times New Roman" w:hAnsi="Montserrat" w:cs="Arial"/>
        </w:rPr>
      </w:pPr>
    </w:p>
    <w:p w14:paraId="72BDFE27" w14:textId="77777777" w:rsidR="00B0059B" w:rsidRPr="00FD2DE6" w:rsidRDefault="00B0059B" w:rsidP="00B0059B">
      <w:pPr>
        <w:widowControl w:val="0"/>
        <w:jc w:val="both"/>
        <w:rPr>
          <w:rFonts w:ascii="Montserrat" w:hAnsi="Montserrat"/>
          <w:b/>
        </w:rPr>
      </w:pPr>
      <w:r w:rsidRPr="00FD2DE6">
        <w:rPr>
          <w:rFonts w:ascii="Montserrat" w:hAnsi="Montserrat"/>
          <w:b/>
        </w:rPr>
        <w:t>Introducción</w:t>
      </w:r>
    </w:p>
    <w:p w14:paraId="7DCC1094" w14:textId="77777777" w:rsidR="00B0059B" w:rsidRPr="00FD2DE6" w:rsidRDefault="00B0059B" w:rsidP="00B0059B">
      <w:pPr>
        <w:tabs>
          <w:tab w:val="left" w:pos="7260"/>
        </w:tabs>
        <w:jc w:val="both"/>
        <w:rPr>
          <w:rFonts w:ascii="Montserrat" w:eastAsia="Times New Roman" w:hAnsi="Montserrat" w:cs="Arial"/>
        </w:rPr>
      </w:pPr>
    </w:p>
    <w:p w14:paraId="18A50C0F"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estados financieros aquí presentados tienen el objetivo de proveer de información financiera a los principales usuarios de ésta, específicamente a los administradores de la Secretarías que integran el Poder Ejecutivo del Gobierno del Estado, al H. Congreso del Estado de Oaxaca, a las Entidades Fiscalizadoras, a las Instituciones bancarias, a las Calificadoras y a la ciudadanía en general.</w:t>
      </w:r>
    </w:p>
    <w:p w14:paraId="0ECC4C88" w14:textId="77777777" w:rsidR="00B0059B" w:rsidRPr="00FD2DE6" w:rsidRDefault="00B0059B" w:rsidP="00B0059B">
      <w:pPr>
        <w:tabs>
          <w:tab w:val="left" w:pos="7260"/>
        </w:tabs>
        <w:jc w:val="both"/>
        <w:rPr>
          <w:rFonts w:ascii="Montserrat" w:eastAsia="Times New Roman" w:hAnsi="Montserrat" w:cs="Arial"/>
        </w:rPr>
      </w:pPr>
    </w:p>
    <w:p w14:paraId="4EA0AFE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Estos estados financieros son la revelación del contexto y de los aspectos económicos financieros más relevantes que influyeron en las decisiones del periodo, situaciones que fueron consideradas en la gestión de la Administración a cargo y que se ve reflejada en la elaboración de los estados financieros.</w:t>
      </w:r>
    </w:p>
    <w:p w14:paraId="05894175" w14:textId="77777777" w:rsidR="00B0059B" w:rsidRPr="00FD2DE6" w:rsidRDefault="00B0059B" w:rsidP="00B0059B">
      <w:pPr>
        <w:tabs>
          <w:tab w:val="left" w:pos="7260"/>
        </w:tabs>
        <w:jc w:val="both"/>
        <w:rPr>
          <w:rFonts w:ascii="Montserrat" w:eastAsia="Times New Roman" w:hAnsi="Montserrat" w:cs="Arial"/>
        </w:rPr>
      </w:pPr>
    </w:p>
    <w:p w14:paraId="7DA0E7BD" w14:textId="6942A096"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Estados Financieros del Poder Ejecutivo son elaborados por la Secretaría de Finanzas bajo la responsabilidad de la Dirección de Contabilidad</w:t>
      </w:r>
      <w:r w:rsidR="00A259CD">
        <w:rPr>
          <w:rFonts w:ascii="Montserrat" w:eastAsia="Times New Roman" w:hAnsi="Montserrat" w:cs="Arial"/>
        </w:rPr>
        <w:t xml:space="preserve"> Gubernamental</w:t>
      </w:r>
      <w:r w:rsidRPr="00FD2DE6">
        <w:rPr>
          <w:rFonts w:ascii="Montserrat" w:eastAsia="Times New Roman" w:hAnsi="Montserrat" w:cs="Arial"/>
        </w:rPr>
        <w:t xml:space="preserve">, formulados con sustento a las disposiciones legales, normas contables y presupuestales del Estado, con avances en el apego a los criterios de armonización que dicta la Ley General de </w:t>
      </w:r>
      <w:r w:rsidRPr="00FD2DE6">
        <w:rPr>
          <w:rFonts w:ascii="Montserrat" w:eastAsia="Times New Roman" w:hAnsi="Montserrat" w:cs="Arial"/>
        </w:rPr>
        <w:lastRenderedPageBreak/>
        <w:t>Contabilidad Gubernamental y las Normas y Metodologías para la Emisión de la Información Financiera considerando la Estructura de los Estados Financieros básicos emitido por el Consejo Nacional de Armonización Contable (CONAC);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esta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w:t>
      </w:r>
    </w:p>
    <w:p w14:paraId="20E72D61" w14:textId="77777777" w:rsidR="00B0059B" w:rsidRPr="00FD2DE6" w:rsidRDefault="00B0059B" w:rsidP="00B0059B">
      <w:pPr>
        <w:tabs>
          <w:tab w:val="left" w:pos="7260"/>
        </w:tabs>
        <w:jc w:val="both"/>
        <w:rPr>
          <w:rFonts w:ascii="Montserrat" w:eastAsia="Times New Roman" w:hAnsi="Montserrat" w:cs="Arial"/>
        </w:rPr>
      </w:pPr>
    </w:p>
    <w:p w14:paraId="5FC4B57B"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Autorización e Historia.</w:t>
      </w:r>
    </w:p>
    <w:p w14:paraId="18732852" w14:textId="77777777" w:rsidR="00B0059B" w:rsidRPr="00FD2DE6" w:rsidRDefault="00B0059B" w:rsidP="00B0059B">
      <w:pPr>
        <w:pStyle w:val="Prrafodelista"/>
        <w:widowControl w:val="0"/>
        <w:ind w:left="426"/>
        <w:jc w:val="both"/>
        <w:rPr>
          <w:rFonts w:ascii="Montserrat" w:hAnsi="Montserrat"/>
          <w:b/>
          <w:sz w:val="24"/>
          <w:szCs w:val="24"/>
        </w:rPr>
      </w:pPr>
    </w:p>
    <w:p w14:paraId="14DE9634" w14:textId="77777777" w:rsidR="00B0059B" w:rsidRPr="00FD2DE6"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Fecha de creación del ente público.</w:t>
      </w:r>
    </w:p>
    <w:p w14:paraId="3A34F62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1CD3DE8F" w14:textId="77777777" w:rsidR="00B0059B" w:rsidRPr="00FD2DE6" w:rsidRDefault="00B0059B" w:rsidP="00B0059B">
      <w:pPr>
        <w:tabs>
          <w:tab w:val="left" w:pos="7260"/>
        </w:tabs>
        <w:jc w:val="both"/>
        <w:rPr>
          <w:rFonts w:ascii="Montserrat" w:eastAsia="Times New Roman" w:hAnsi="Montserrat" w:cs="Arial"/>
        </w:rPr>
      </w:pPr>
    </w:p>
    <w:p w14:paraId="070DC3C2"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huaves, mazatecos, amuzgos, nahuas, zoques, chontales de Oaxaca, cuicatecos, ixcatecos, chocholtecos, tacuates, afromestizos de la costa chica y en menor medida tzotziles; que en conjunto superan el millón de habitantes alrededor del 34.2% del total, distribuidos en 2,563 localidades.</w:t>
      </w:r>
    </w:p>
    <w:p w14:paraId="361B989B" w14:textId="77777777" w:rsidR="00B0059B" w:rsidRPr="00FD2DE6" w:rsidRDefault="00B0059B" w:rsidP="00B0059B">
      <w:pPr>
        <w:tabs>
          <w:tab w:val="left" w:pos="7260"/>
        </w:tabs>
        <w:jc w:val="both"/>
        <w:rPr>
          <w:rFonts w:ascii="Montserrat" w:eastAsia="Times New Roman" w:hAnsi="Montserrat" w:cs="Arial"/>
        </w:rPr>
      </w:pPr>
    </w:p>
    <w:p w14:paraId="5BBA55D0"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El nombre del Estado proviene de la denominación náhuatl Huãxyacac, impuesta por los conquistadores aztecas en el siglo XV, en el momento de </w:t>
      </w:r>
      <w:r w:rsidRPr="00FD2DE6">
        <w:rPr>
          <w:rFonts w:ascii="Montserrat" w:eastAsia="Times New Roman" w:hAnsi="Montserrat" w:cs="Arial"/>
        </w:rPr>
        <w:lastRenderedPageBreak/>
        <w:t>su incorporación al imperio tenochca; Huãx significa en español 'huaje', planta común en la región de los valles; yaca significa, literalmente, 'nariz', y el sufijo 'c' es equivalente a tepec, 'lugar', de una forma abreviada. Fonéticamente, el glifo correspondiente se leería como Huaxyacatepec, es decir, "en la punta de los huajes". Una adaptación lingüística de los conquistadores españoles derivó en el actual Oaxaca.</w:t>
      </w:r>
    </w:p>
    <w:p w14:paraId="167AEECC" w14:textId="77777777" w:rsidR="00B0059B" w:rsidRPr="00FD2DE6" w:rsidRDefault="00B0059B" w:rsidP="00B0059B">
      <w:pPr>
        <w:tabs>
          <w:tab w:val="left" w:pos="7260"/>
        </w:tabs>
        <w:jc w:val="both"/>
        <w:rPr>
          <w:rFonts w:ascii="Montserrat" w:eastAsia="Times New Roman" w:hAnsi="Montserrat" w:cs="Arial"/>
        </w:rPr>
      </w:pPr>
    </w:p>
    <w:p w14:paraId="0527C09C"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presencia del hombre en Oaxaca se remonta al 7500 a.C. aproximadamente, en lugares como la cueva Guilá Nazquitz, cerca de Mitla. En Yagul se han hallado pinturas rupestres relacionadas a grupos nómadas ligados a los primeros pobladores del valle de Oaxaca.</w:t>
      </w:r>
    </w:p>
    <w:p w14:paraId="6114D27F" w14:textId="77777777" w:rsidR="00B0059B" w:rsidRPr="00FD2DE6" w:rsidRDefault="00B0059B" w:rsidP="00B0059B">
      <w:pPr>
        <w:tabs>
          <w:tab w:val="left" w:pos="7260"/>
        </w:tabs>
        <w:jc w:val="both"/>
        <w:rPr>
          <w:rFonts w:ascii="Montserrat" w:eastAsia="Times New Roman" w:hAnsi="Montserrat" w:cs="Arial"/>
        </w:rPr>
      </w:pPr>
    </w:p>
    <w:p w14:paraId="76DC4A52"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En el actual territorio oaxaqueño se desarrollaron principalmente dos grandes civilizaciones, la zapoteca y la mixteca, cuyos imperios compitieron siempre por la dominación de Oaxaca. La primera de ellas floreció en el área de Monte Albán a partir del año 900 a.C. hasta su derrota en el año 1,300 a manos de los propios mixtecos, los cuales a su vez permanecerían en el sitio hasta su posterior saqueo y destrucción por parte de los conquistadores españoles.</w:t>
      </w:r>
    </w:p>
    <w:p w14:paraId="7C1C131D" w14:textId="77777777" w:rsidR="00B0059B" w:rsidRPr="00FD2DE6" w:rsidRDefault="00B0059B" w:rsidP="00B0059B">
      <w:pPr>
        <w:tabs>
          <w:tab w:val="left" w:pos="7260"/>
        </w:tabs>
        <w:jc w:val="both"/>
        <w:rPr>
          <w:rFonts w:ascii="Montserrat" w:eastAsia="Times New Roman" w:hAnsi="Montserrat" w:cs="Arial"/>
        </w:rPr>
      </w:pPr>
    </w:p>
    <w:p w14:paraId="5C162BF4"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Oaxaca fue fundada por los guerreros del emperador azteca Ahuizotl en el año de 1486. En 1532, por cédula real, recibió del rey Carlos V de España el título de "Muy noble y leal ciudad", llamándose "Antequera", nombre que en 1821 fue sustituido por Oaxaca. En 1872 a la muerte del Benemérito de las Américas, Don Benito Juárez, recibió el nombre que actualmente ostenta: Oaxaca de Juárez.</w:t>
      </w:r>
    </w:p>
    <w:p w14:paraId="59A1298C" w14:textId="77777777" w:rsidR="00B0059B" w:rsidRPr="00FD2DE6" w:rsidRDefault="00B0059B" w:rsidP="00B0059B">
      <w:pPr>
        <w:tabs>
          <w:tab w:val="left" w:pos="7260"/>
        </w:tabs>
        <w:jc w:val="both"/>
        <w:rPr>
          <w:rFonts w:ascii="Montserrat" w:eastAsia="Times New Roman" w:hAnsi="Montserrat" w:cs="Arial"/>
        </w:rPr>
      </w:pPr>
    </w:p>
    <w:p w14:paraId="16C3CE02"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Miguel Cabrera, Rufino Tamayo, Francisco</w:t>
      </w:r>
      <w:r w:rsidRPr="00FD2DE6">
        <w:rPr>
          <w:rFonts w:ascii="Montserrat" w:hAnsi="Montserrat"/>
        </w:rPr>
        <w:t xml:space="preserve"> T</w:t>
      </w:r>
      <w:r w:rsidRPr="00FD2DE6">
        <w:rPr>
          <w:rFonts w:ascii="Montserrat" w:eastAsia="Times New Roman" w:hAnsi="Montserrat" w:cs="Arial"/>
        </w:rPr>
        <w:t>oledo, Rodolfo Morales, Alfredo Canseco Feraud y Macedonio Alcalá, además de mujeres como Teodora Blanco.</w:t>
      </w:r>
    </w:p>
    <w:p w14:paraId="70C2D6A6" w14:textId="77777777" w:rsidR="00B0059B" w:rsidRPr="00FD2DE6" w:rsidRDefault="00B0059B" w:rsidP="00B0059B">
      <w:pPr>
        <w:tabs>
          <w:tab w:val="left" w:pos="7260"/>
        </w:tabs>
        <w:jc w:val="both"/>
        <w:rPr>
          <w:rFonts w:ascii="Montserrat" w:eastAsia="Times New Roman" w:hAnsi="Montserrat" w:cs="Arial"/>
        </w:rPr>
      </w:pPr>
    </w:p>
    <w:p w14:paraId="7DB199C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w:t>
      </w:r>
      <w:r w:rsidRPr="00FD2DE6">
        <w:rPr>
          <w:rFonts w:ascii="Montserrat" w:eastAsia="Times New Roman" w:hAnsi="Montserrat" w:cs="Arial"/>
        </w:rPr>
        <w:lastRenderedPageBreak/>
        <w:t>fecha 29 de octubre de 1990 que "El Estado de Oaxaca es parte integrante de los Estados Unidos Mexicanos y es libre y soberano en todo lo que concierne a su régimen interior."</w:t>
      </w:r>
    </w:p>
    <w:p w14:paraId="21659B0C" w14:textId="77777777" w:rsidR="00B0059B" w:rsidRPr="00FD2DE6" w:rsidRDefault="00B0059B" w:rsidP="00B0059B">
      <w:pPr>
        <w:tabs>
          <w:tab w:val="left" w:pos="7260"/>
        </w:tabs>
        <w:jc w:val="both"/>
        <w:rPr>
          <w:rFonts w:ascii="Montserrat" w:eastAsia="Times New Roman" w:hAnsi="Montserrat" w:cs="Arial"/>
        </w:rPr>
      </w:pPr>
    </w:p>
    <w:p w14:paraId="51F9EBE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Para efectos de poder dar cumplimiento a sus obligaciones fiscales el Gobierno del Estado de Oaxaca se inscribió al registro federal de contribuyentes como Persona Moral con Fines no Lucrativos en los términos de la Ley del Impuesto Sobre la Renta con fecha el 01 de junio de 1962.</w:t>
      </w:r>
    </w:p>
    <w:p w14:paraId="7BDC073B" w14:textId="77777777" w:rsidR="00B0059B" w:rsidRPr="00FD2DE6" w:rsidRDefault="00B0059B" w:rsidP="00B0059B">
      <w:pPr>
        <w:tabs>
          <w:tab w:val="left" w:pos="7260"/>
        </w:tabs>
        <w:jc w:val="both"/>
        <w:rPr>
          <w:rFonts w:ascii="Montserrat" w:eastAsia="Times New Roman" w:hAnsi="Montserrat" w:cs="Arial"/>
        </w:rPr>
      </w:pPr>
    </w:p>
    <w:p w14:paraId="430E6E7A" w14:textId="77777777" w:rsidR="00B0059B" w:rsidRPr="00FD2DE6"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Principales cambios en la estructura del Gobierno del Estado de Oaxaca.</w:t>
      </w:r>
    </w:p>
    <w:p w14:paraId="1BB10488" w14:textId="3928DAF4" w:rsidR="00B0059B" w:rsidRPr="00FD2DE6" w:rsidRDefault="00B0059B" w:rsidP="00B0059B">
      <w:pPr>
        <w:tabs>
          <w:tab w:val="left" w:pos="7260"/>
        </w:tabs>
        <w:jc w:val="both"/>
        <w:rPr>
          <w:rFonts w:ascii="Montserrat" w:eastAsia="Times New Roman" w:hAnsi="Montserrat" w:cs="Calibri"/>
          <w:bCs/>
          <w:lang w:eastAsia="es-ES"/>
        </w:rPr>
      </w:pPr>
      <w:r w:rsidRPr="00FD2DE6">
        <w:rPr>
          <w:rFonts w:ascii="Montserrat" w:eastAsia="Times New Roman" w:hAnsi="Montserrat" w:cs="Arial"/>
        </w:rPr>
        <w:t>Al inicio de la presente administración el Poder Ejecutivo del Gobierno del Estado de Oaxaca se conformaba por 2</w:t>
      </w:r>
      <w:r w:rsidR="003F0261" w:rsidRPr="00FD2DE6">
        <w:rPr>
          <w:rFonts w:ascii="Montserrat" w:eastAsia="Times New Roman" w:hAnsi="Montserrat" w:cs="Arial"/>
        </w:rPr>
        <w:t>2</w:t>
      </w:r>
      <w:r w:rsidRPr="00FD2DE6">
        <w:rPr>
          <w:rFonts w:ascii="Montserrat" w:eastAsia="Times New Roman" w:hAnsi="Montserrat" w:cs="Arial"/>
        </w:rPr>
        <w:t xml:space="preserve"> Dependencias de la Administración Pública Centralizada</w:t>
      </w:r>
      <w:r w:rsidR="00D75926">
        <w:rPr>
          <w:rFonts w:ascii="Montserrat" w:eastAsia="Times New Roman" w:hAnsi="Montserrat" w:cs="Arial"/>
        </w:rPr>
        <w:t xml:space="preserve"> y </w:t>
      </w:r>
      <w:r w:rsidR="00AF7183">
        <w:rPr>
          <w:rFonts w:ascii="Montserrat" w:eastAsia="Times New Roman" w:hAnsi="Montserrat" w:cs="Arial"/>
        </w:rPr>
        <w:t>70</w:t>
      </w:r>
      <w:r w:rsidR="00D75926">
        <w:rPr>
          <w:rFonts w:ascii="Montserrat" w:eastAsia="Times New Roman" w:hAnsi="Montserrat" w:cs="Arial"/>
        </w:rPr>
        <w:t xml:space="preserve"> entidades de la Administración Pública Paraestatal;</w:t>
      </w:r>
      <w:r w:rsidRPr="00FD2DE6">
        <w:rPr>
          <w:rFonts w:ascii="Montserrat" w:eastAsia="Times New Roman" w:hAnsi="Montserrat" w:cs="Arial"/>
        </w:rPr>
        <w:t xml:space="preserve"> el Gobernador Constitucional, con el objetivo de establecer la base para lograr los resultados propuestos, al iniciar sus funciones y a lo largo del año 2023, dictó cambios en la estructura gubernamental sumando 3 dependencias nuevas a la Administración Pública Centralizada: la Jefatura de Gabinete, la Secretaría de Educación Pública y la Secretaría del Trabajo, así mismo para dotarles de estructura se reorganizó la gestión y operación de algunas áreas de la </w:t>
      </w:r>
      <w:r w:rsidRPr="00FD2DE6">
        <w:rPr>
          <w:rFonts w:ascii="Montserrat" w:eastAsia="Times New Roman" w:hAnsi="Montserrat" w:cs="Calibri"/>
          <w:bCs/>
          <w:lang w:eastAsia="es-ES"/>
        </w:rPr>
        <w:t xml:space="preserve">Secretaría de Gobierno, </w:t>
      </w:r>
      <w:r w:rsidRPr="00FD2DE6">
        <w:rPr>
          <w:rFonts w:ascii="Montserrat" w:eastAsia="Times New Roman" w:hAnsi="Montserrat" w:cs="Arial"/>
        </w:rPr>
        <w:t xml:space="preserve">trasladando 5 áreas a estas tres dependencias de nueva creación, siendo la Junta Local de Conciliación y Arbitraje y la Junta de Arbitraje para los Empleados al Servicio de los Poderes del Estado trasferidos a la </w:t>
      </w:r>
      <w:r w:rsidRPr="00FD2DE6">
        <w:rPr>
          <w:rFonts w:ascii="Montserrat" w:eastAsia="Times New Roman" w:hAnsi="Montserrat" w:cs="Calibri"/>
          <w:bCs/>
          <w:lang w:eastAsia="es-ES"/>
        </w:rPr>
        <w:t>Consejería Jurídica y Asistencia Legal del Estado de Oaxaca; la Procuraduría para la Defensa del Trabajo y la Coordinación de Normatividad e Inspección del Trabajo</w:t>
      </w:r>
      <w:r w:rsidRPr="00FD2DE6">
        <w:rPr>
          <w:rFonts w:ascii="Montserrat" w:eastAsia="Times New Roman" w:hAnsi="Montserrat" w:cs="Arial"/>
        </w:rPr>
        <w:t xml:space="preserve"> transferidas a la Secretaría del Trabajo; y la </w:t>
      </w:r>
      <w:r w:rsidRPr="00FD2DE6">
        <w:rPr>
          <w:rFonts w:ascii="Montserrat" w:eastAsia="Times New Roman" w:hAnsi="Montserrat" w:cs="Calibri"/>
          <w:bCs/>
          <w:lang w:eastAsia="es-ES"/>
        </w:rPr>
        <w:t>Coordinación de Atención Ciudadana y Vinculación Social transferidas a la Jefatura de Gabinete.</w:t>
      </w:r>
    </w:p>
    <w:p w14:paraId="71079072" w14:textId="77777777" w:rsidR="00B0059B" w:rsidRPr="00FD2DE6" w:rsidRDefault="00B0059B" w:rsidP="00B0059B">
      <w:pPr>
        <w:tabs>
          <w:tab w:val="left" w:pos="7260"/>
        </w:tabs>
        <w:jc w:val="both"/>
        <w:rPr>
          <w:rFonts w:ascii="Montserrat" w:eastAsia="Times New Roman" w:hAnsi="Montserrat" w:cs="Arial"/>
        </w:rPr>
      </w:pPr>
    </w:p>
    <w:p w14:paraId="4A3D6AB6" w14:textId="45D6B66E"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Así mismo, se extinguieron 4 Entidades Paraestatales, de las cuales 3 fueron absorbidas por igual número de Dependencias, siendo: la Coordinación General de Unidades y Caravanas Móviles de Servicios Gratuitos, cuyas actividades y estructura fue transferida a la </w:t>
      </w:r>
      <w:r w:rsidRPr="00FD2DE6">
        <w:rPr>
          <w:rFonts w:ascii="Montserrat" w:eastAsia="Times New Roman" w:hAnsi="Montserrat" w:cs="Calibri"/>
          <w:bCs/>
          <w:lang w:eastAsia="es-ES"/>
        </w:rPr>
        <w:t>Secretaría de Bienestar, Tequio e Inclusión;</w:t>
      </w:r>
      <w:r w:rsidRPr="00FD2DE6">
        <w:rPr>
          <w:rFonts w:ascii="Montserrat" w:eastAsia="Times New Roman" w:hAnsi="Montserrat" w:cs="Arial"/>
        </w:rPr>
        <w:t xml:space="preserve"> la Coordinación General de Enlace Federal cuyas actividades y estructura fue absorbida por la Gubernatura; y la Oficina de Convenciones y Visitantes De Oaxaca "OCV Oaxaca" que quedo a cargo de la Secretaría de Administración</w:t>
      </w:r>
      <w:r w:rsidR="00D633F9">
        <w:rPr>
          <w:rFonts w:ascii="Montserrat" w:eastAsia="Times New Roman" w:hAnsi="Montserrat" w:cs="Arial"/>
        </w:rPr>
        <w:t>; la cuarta entidad extinta es la Coordinación General de Relaciones Internacionales.</w:t>
      </w:r>
    </w:p>
    <w:p w14:paraId="3133A75A" w14:textId="77777777" w:rsidR="00B0059B" w:rsidRPr="00FD2DE6" w:rsidRDefault="00B0059B" w:rsidP="00B0059B">
      <w:pPr>
        <w:widowControl w:val="0"/>
        <w:jc w:val="both"/>
        <w:rPr>
          <w:rFonts w:ascii="Montserrat" w:hAnsi="Montserrat"/>
          <w:b/>
        </w:rPr>
      </w:pPr>
    </w:p>
    <w:p w14:paraId="25A7FC5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También, el Gobernador Constitucional propuso al Congreso del Estado la modificación de 15 nombres de Dependencias a fin de fortalecer su esencia en la encomienda de cada una.</w:t>
      </w:r>
    </w:p>
    <w:p w14:paraId="38895F5E" w14:textId="77777777" w:rsidR="00B0059B" w:rsidRPr="00FD2DE6" w:rsidRDefault="00B0059B" w:rsidP="00B0059B">
      <w:pPr>
        <w:tabs>
          <w:tab w:val="left" w:pos="7260"/>
        </w:tabs>
        <w:jc w:val="both"/>
        <w:rPr>
          <w:rFonts w:ascii="Montserrat" w:eastAsia="Times New Roman" w:hAnsi="Montserrat" w:cs="Arial"/>
        </w:rPr>
      </w:pPr>
    </w:p>
    <w:p w14:paraId="091C5BFD" w14:textId="58EDB23B"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Sumado a los cambios anteriores, durante el</w:t>
      </w:r>
      <w:r w:rsidR="009D6819" w:rsidRPr="00FD2DE6">
        <w:rPr>
          <w:rFonts w:ascii="Montserrat" w:eastAsia="Times New Roman" w:hAnsi="Montserrat" w:cs="Arial"/>
        </w:rPr>
        <w:t xml:space="preserve"> </w:t>
      </w:r>
      <w:r w:rsidRPr="00FD2DE6">
        <w:rPr>
          <w:rFonts w:ascii="Montserrat" w:eastAsia="Times New Roman" w:hAnsi="Montserrat" w:cs="Arial"/>
        </w:rPr>
        <w:t xml:space="preserve">2024, el Gobernador </w:t>
      </w:r>
      <w:r w:rsidR="00C76838">
        <w:rPr>
          <w:rFonts w:ascii="Montserrat" w:eastAsia="Times New Roman" w:hAnsi="Montserrat" w:cs="Arial"/>
        </w:rPr>
        <w:t xml:space="preserve">Constitucional del Estado </w:t>
      </w:r>
      <w:r w:rsidRPr="00FD2DE6">
        <w:rPr>
          <w:rFonts w:ascii="Montserrat" w:eastAsia="Times New Roman" w:hAnsi="Montserrat" w:cs="Arial"/>
        </w:rPr>
        <w:t>tuvo a bien dictar cambios el algunas dependencias y entidades, de acuerdo a lo siguiente:</w:t>
      </w:r>
    </w:p>
    <w:p w14:paraId="2001AD4A" w14:textId="77777777" w:rsidR="00B0059B" w:rsidRPr="00FD2DE6" w:rsidRDefault="00B0059B" w:rsidP="00B0059B">
      <w:pPr>
        <w:tabs>
          <w:tab w:val="left" w:pos="7260"/>
        </w:tabs>
        <w:jc w:val="both"/>
        <w:rPr>
          <w:rFonts w:ascii="Montserrat" w:eastAsia="Times New Roman" w:hAnsi="Montserrat" w:cs="Arial"/>
        </w:rPr>
      </w:pPr>
    </w:p>
    <w:p w14:paraId="17967CC2" w14:textId="69B23526" w:rsidR="004A7AAF"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De la Administración Pública Centralizada se extinguieron </w:t>
      </w:r>
      <w:r w:rsidR="004A7AAF">
        <w:rPr>
          <w:rFonts w:ascii="Montserrat" w:eastAsia="Times New Roman" w:hAnsi="Montserrat" w:cs="Arial"/>
        </w:rPr>
        <w:t>2 dependencias, la</w:t>
      </w:r>
      <w:r w:rsidRPr="00FD2DE6">
        <w:rPr>
          <w:rFonts w:ascii="Montserrat" w:eastAsia="Times New Roman" w:hAnsi="Montserrat" w:cs="Arial"/>
        </w:rPr>
        <w:t xml:space="preserve"> Jefatura de Gabinete y la Coordinación General de Educación Media Superior y Superior, Ciencia y Tecnología, cuyas funciones de esta última fueron absorbidas por la Secretaria de Educación Pública</w:t>
      </w:r>
      <w:r w:rsidR="004A7AAF">
        <w:rPr>
          <w:rFonts w:ascii="Montserrat" w:eastAsia="Times New Roman" w:hAnsi="Montserrat" w:cs="Arial"/>
        </w:rPr>
        <w:t xml:space="preserve">. </w:t>
      </w:r>
    </w:p>
    <w:p w14:paraId="50C4FE80" w14:textId="77777777" w:rsidR="004A7AAF" w:rsidRPr="00AF7183" w:rsidRDefault="004A7AAF" w:rsidP="00B0059B">
      <w:pPr>
        <w:tabs>
          <w:tab w:val="left" w:pos="7260"/>
        </w:tabs>
        <w:jc w:val="both"/>
        <w:rPr>
          <w:rFonts w:ascii="Montserrat" w:eastAsia="Times New Roman" w:hAnsi="Montserrat" w:cs="Arial"/>
        </w:rPr>
      </w:pPr>
    </w:p>
    <w:p w14:paraId="66D3DCCC" w14:textId="242589F8" w:rsidR="0011110F" w:rsidRPr="00AF7183" w:rsidRDefault="004A7AAF" w:rsidP="00B0059B">
      <w:pPr>
        <w:tabs>
          <w:tab w:val="left" w:pos="7260"/>
        </w:tabs>
        <w:jc w:val="both"/>
        <w:rPr>
          <w:rFonts w:ascii="Montserrat" w:eastAsia="Times New Roman" w:hAnsi="Montserrat" w:cs="Arial"/>
        </w:rPr>
      </w:pPr>
      <w:r w:rsidRPr="00AF7183">
        <w:rPr>
          <w:rFonts w:ascii="Montserrat" w:eastAsia="Times New Roman" w:hAnsi="Montserrat" w:cs="Arial"/>
        </w:rPr>
        <w:t>De la Administración Pública Paraestatal se extinguieron 8 Entidades:</w:t>
      </w:r>
      <w:r w:rsidR="00E226CA" w:rsidRPr="00AF7183">
        <w:rPr>
          <w:rFonts w:ascii="Montserrat" w:eastAsia="Times New Roman" w:hAnsi="Montserrat" w:cs="Arial"/>
        </w:rPr>
        <w:t xml:space="preserve"> en donde la </w:t>
      </w:r>
      <w:r w:rsidR="0011110F" w:rsidRPr="00AF7183">
        <w:rPr>
          <w:rFonts w:ascii="Montserrat" w:eastAsia="Times New Roman" w:hAnsi="Montserrat" w:cs="Arial"/>
        </w:rPr>
        <w:t>Comisión Estatal para la Planeación de la Educación Superior</w:t>
      </w:r>
      <w:r w:rsidR="00E226CA" w:rsidRPr="00AF7183">
        <w:rPr>
          <w:rFonts w:ascii="Montserrat" w:eastAsia="Times New Roman" w:hAnsi="Montserrat" w:cs="Arial"/>
        </w:rPr>
        <w:t xml:space="preserve"> y la </w:t>
      </w:r>
      <w:r w:rsidR="0011110F" w:rsidRPr="00AF7183">
        <w:rPr>
          <w:rFonts w:ascii="Montserrat" w:eastAsia="Times New Roman" w:hAnsi="Montserrat" w:cs="Arial"/>
        </w:rPr>
        <w:t xml:space="preserve"> </w:t>
      </w:r>
    </w:p>
    <w:p w14:paraId="07375053" w14:textId="6299F020" w:rsidR="0011110F" w:rsidRPr="00AF7183" w:rsidRDefault="0011110F" w:rsidP="00B0059B">
      <w:pPr>
        <w:tabs>
          <w:tab w:val="left" w:pos="7260"/>
        </w:tabs>
        <w:jc w:val="both"/>
        <w:rPr>
          <w:rFonts w:ascii="Montserrat" w:eastAsia="Times New Roman" w:hAnsi="Montserrat" w:cs="Arial"/>
        </w:rPr>
      </w:pPr>
      <w:r w:rsidRPr="00AF7183">
        <w:rPr>
          <w:rFonts w:ascii="Montserrat" w:eastAsia="Times New Roman" w:hAnsi="Montserrat" w:cs="Arial"/>
        </w:rPr>
        <w:t>Comisión Estatal para la Planeación de la Educación Media Superior</w:t>
      </w:r>
      <w:r w:rsidR="00E226CA" w:rsidRPr="00AF7183">
        <w:rPr>
          <w:rFonts w:ascii="Montserrat" w:eastAsia="Times New Roman" w:hAnsi="Montserrat" w:cs="Arial"/>
        </w:rPr>
        <w:t xml:space="preserve">, también fueron absorbidas por la Secretaria de Educación Pública; las entidades </w:t>
      </w:r>
      <w:r w:rsidRPr="00AF7183">
        <w:rPr>
          <w:rFonts w:ascii="Montserrat" w:eastAsia="Times New Roman" w:hAnsi="Montserrat" w:cs="Arial"/>
        </w:rPr>
        <w:t>Dirección General de Población de Oaxaca</w:t>
      </w:r>
      <w:r w:rsidR="00E226CA" w:rsidRPr="00AF7183">
        <w:rPr>
          <w:rFonts w:ascii="Montserrat" w:eastAsia="Times New Roman" w:hAnsi="Montserrat" w:cs="Arial"/>
        </w:rPr>
        <w:t xml:space="preserve"> </w:t>
      </w:r>
      <w:r w:rsidR="00C431C1" w:rsidRPr="00AF7183">
        <w:rPr>
          <w:rFonts w:ascii="Montserrat" w:eastAsia="Times New Roman" w:hAnsi="Montserrat" w:cs="Arial"/>
        </w:rPr>
        <w:t xml:space="preserve">e </w:t>
      </w:r>
      <w:r w:rsidRPr="00AF7183">
        <w:rPr>
          <w:rFonts w:ascii="Montserrat" w:eastAsia="Times New Roman" w:hAnsi="Montserrat" w:cs="Arial"/>
        </w:rPr>
        <w:t>Instituto de Atención al Migrante Oaxaqueño</w:t>
      </w:r>
      <w:r w:rsidR="00C431C1" w:rsidRPr="00AF7183">
        <w:rPr>
          <w:rFonts w:ascii="Montserrat" w:eastAsia="Times New Roman" w:hAnsi="Montserrat" w:cs="Arial"/>
        </w:rPr>
        <w:t xml:space="preserve"> fueron trasladadas a la Secretaría de Gobierno; el </w:t>
      </w:r>
      <w:r w:rsidRPr="00AF7183">
        <w:rPr>
          <w:rFonts w:ascii="Montserrat" w:eastAsia="Times New Roman" w:hAnsi="Montserrat" w:cs="Arial"/>
        </w:rPr>
        <w:t>Instituto para el Fomento y la Protección de las Artesanías</w:t>
      </w:r>
      <w:r w:rsidR="00C431C1" w:rsidRPr="00AF7183">
        <w:rPr>
          <w:rFonts w:ascii="Montserrat" w:eastAsia="Times New Roman" w:hAnsi="Montserrat" w:cs="Arial"/>
        </w:rPr>
        <w:t xml:space="preserve"> y el </w:t>
      </w:r>
      <w:r w:rsidRPr="00AF7183">
        <w:rPr>
          <w:rFonts w:ascii="Montserrat" w:eastAsia="Times New Roman" w:hAnsi="Montserrat" w:cs="Arial"/>
        </w:rPr>
        <w:t>Instituto Oaxaqueño del Emprendedor y de la Competitividad</w:t>
      </w:r>
      <w:r w:rsidR="00C431C1" w:rsidRPr="00AF7183">
        <w:rPr>
          <w:rFonts w:ascii="Montserrat" w:eastAsia="Times New Roman" w:hAnsi="Montserrat" w:cs="Arial"/>
        </w:rPr>
        <w:t xml:space="preserve"> fueron reubicadas en la Secretaría de Desarrollo Económico; la </w:t>
      </w:r>
      <w:r w:rsidRPr="00AF7183">
        <w:rPr>
          <w:rFonts w:ascii="Montserrat" w:eastAsia="Times New Roman" w:hAnsi="Montserrat" w:cs="Arial"/>
        </w:rPr>
        <w:t>Coordinación Estatal del Corredor Interoceánico del Istmo</w:t>
      </w:r>
      <w:r w:rsidR="00C431C1" w:rsidRPr="00AF7183">
        <w:rPr>
          <w:rFonts w:ascii="Montserrat" w:eastAsia="Times New Roman" w:hAnsi="Montserrat" w:cs="Arial"/>
        </w:rPr>
        <w:t xml:space="preserve"> fue trasladada a la Gubernatura y por último</w:t>
      </w:r>
      <w:r w:rsidR="003D0075" w:rsidRPr="00AF7183">
        <w:rPr>
          <w:rFonts w:ascii="Montserrat" w:eastAsia="Times New Roman" w:hAnsi="Montserrat" w:cs="Arial"/>
        </w:rPr>
        <w:t>,</w:t>
      </w:r>
      <w:r w:rsidR="00C431C1" w:rsidRPr="00AF7183">
        <w:rPr>
          <w:rFonts w:ascii="Montserrat" w:eastAsia="Times New Roman" w:hAnsi="Montserrat" w:cs="Arial"/>
        </w:rPr>
        <w:t xml:space="preserve"> la </w:t>
      </w:r>
      <w:r w:rsidRPr="00AF7183">
        <w:rPr>
          <w:rFonts w:ascii="Montserrat" w:eastAsia="Times New Roman" w:hAnsi="Montserrat" w:cs="Arial"/>
        </w:rPr>
        <w:t>Secretaría Ejecutiva del Sistema Estatal de Combate a la Corrupción</w:t>
      </w:r>
      <w:r w:rsidR="003D0075" w:rsidRPr="00AF7183">
        <w:rPr>
          <w:rFonts w:ascii="Montserrat" w:eastAsia="Times New Roman" w:hAnsi="Montserrat" w:cs="Arial"/>
        </w:rPr>
        <w:t xml:space="preserve"> entidad que se extingue con la publicación de la abrogación de la Ley del Sistema de Combate a la Corrupción.</w:t>
      </w:r>
    </w:p>
    <w:p w14:paraId="13983504" w14:textId="77777777" w:rsidR="003D0075" w:rsidRPr="00AF7183" w:rsidRDefault="003D0075" w:rsidP="00B0059B">
      <w:pPr>
        <w:tabs>
          <w:tab w:val="left" w:pos="7260"/>
        </w:tabs>
        <w:jc w:val="both"/>
        <w:rPr>
          <w:rFonts w:ascii="Montserrat" w:eastAsia="Times New Roman" w:hAnsi="Montserrat" w:cs="Arial"/>
        </w:rPr>
      </w:pPr>
    </w:p>
    <w:p w14:paraId="653E5B7D" w14:textId="5F8E6363" w:rsidR="002B7275" w:rsidRPr="00AF7183" w:rsidRDefault="002B7275" w:rsidP="00B0059B">
      <w:pPr>
        <w:tabs>
          <w:tab w:val="left" w:pos="7260"/>
        </w:tabs>
        <w:jc w:val="both"/>
        <w:rPr>
          <w:rFonts w:ascii="Montserrat" w:eastAsia="Times New Roman" w:hAnsi="Montserrat" w:cs="Arial"/>
        </w:rPr>
      </w:pPr>
      <w:r w:rsidRPr="00AF7183">
        <w:rPr>
          <w:rFonts w:ascii="Montserrat" w:eastAsia="Times New Roman" w:hAnsi="Montserrat" w:cs="Arial"/>
        </w:rPr>
        <w:t xml:space="preserve">En cuanto a nuevas dependencias y entidades, durante el año 2024 se crearon 5 Entidades de la Administración Pública Paraestatal: Universidad Autónoma Comunal de Oaxaca, misma que pasó de Órgano Autónomo a finales del 2023 a Entidad Paraestatal a principio de 2024; Unidad de Inteligencia Patrimonial y Económica del Estado de Oaxaca, Universidad Politécnica y Tecnológica del Istmo de Tehuantepec, </w:t>
      </w:r>
      <w:proofErr w:type="spellStart"/>
      <w:r w:rsidRPr="00AF7183">
        <w:rPr>
          <w:rFonts w:ascii="Montserrat" w:eastAsia="Times New Roman" w:hAnsi="Montserrat" w:cs="Arial"/>
        </w:rPr>
        <w:t>Afrouniversidad</w:t>
      </w:r>
      <w:proofErr w:type="spellEnd"/>
      <w:r w:rsidRPr="00AF7183">
        <w:rPr>
          <w:rFonts w:ascii="Montserrat" w:eastAsia="Times New Roman" w:hAnsi="Montserrat" w:cs="Arial"/>
        </w:rPr>
        <w:t xml:space="preserve"> Politécnica Intercultural y la Coordinación para la Comercialización de Productos Oaxaqueños.</w:t>
      </w:r>
    </w:p>
    <w:p w14:paraId="3B369262" w14:textId="42342363" w:rsidR="002B7275" w:rsidRPr="00AF7183" w:rsidRDefault="002B7275" w:rsidP="00B0059B">
      <w:pPr>
        <w:tabs>
          <w:tab w:val="left" w:pos="7260"/>
        </w:tabs>
        <w:jc w:val="both"/>
        <w:rPr>
          <w:rFonts w:ascii="Montserrat" w:eastAsia="Times New Roman" w:hAnsi="Montserrat" w:cs="Arial"/>
        </w:rPr>
      </w:pPr>
      <w:r w:rsidRPr="00AF7183">
        <w:rPr>
          <w:rFonts w:ascii="Montserrat" w:eastAsia="Times New Roman" w:hAnsi="Montserrat" w:cs="Arial"/>
        </w:rPr>
        <w:t xml:space="preserve"> </w:t>
      </w:r>
    </w:p>
    <w:p w14:paraId="123844AB" w14:textId="22923233" w:rsidR="00F129E5" w:rsidRPr="00AF7183" w:rsidRDefault="00B0059B" w:rsidP="00F129E5">
      <w:pPr>
        <w:tabs>
          <w:tab w:val="left" w:pos="7260"/>
        </w:tabs>
        <w:jc w:val="both"/>
        <w:rPr>
          <w:rFonts w:ascii="Montserrat" w:eastAsia="Times New Roman" w:hAnsi="Montserrat" w:cs="Arial"/>
        </w:rPr>
      </w:pPr>
      <w:r w:rsidRPr="00AF7183">
        <w:rPr>
          <w:rFonts w:ascii="Montserrat" w:eastAsia="Times New Roman" w:hAnsi="Montserrat" w:cs="Arial"/>
        </w:rPr>
        <w:t xml:space="preserve">En total, </w:t>
      </w:r>
      <w:r w:rsidR="002B7275" w:rsidRPr="00AF7183">
        <w:rPr>
          <w:rFonts w:ascii="Montserrat" w:eastAsia="Times New Roman" w:hAnsi="Montserrat" w:cs="Arial"/>
        </w:rPr>
        <w:t>durante</w:t>
      </w:r>
      <w:r w:rsidRPr="00AF7183">
        <w:rPr>
          <w:rFonts w:ascii="Montserrat" w:eastAsia="Times New Roman" w:hAnsi="Montserrat" w:cs="Arial"/>
        </w:rPr>
        <w:t xml:space="preserve"> el año 2024 se extinguieron 2 dependencias, </w:t>
      </w:r>
      <w:r w:rsidR="00D97EEB" w:rsidRPr="00AF7183">
        <w:rPr>
          <w:rFonts w:ascii="Montserrat" w:eastAsia="Times New Roman" w:hAnsi="Montserrat" w:cs="Arial"/>
        </w:rPr>
        <w:t>8</w:t>
      </w:r>
      <w:r w:rsidRPr="00AF7183">
        <w:rPr>
          <w:rFonts w:ascii="Montserrat" w:eastAsia="Times New Roman" w:hAnsi="Montserrat" w:cs="Arial"/>
        </w:rPr>
        <w:t xml:space="preserve"> entidades y un órgano autónomo y se cre</w:t>
      </w:r>
      <w:r w:rsidR="00541428" w:rsidRPr="00AF7183">
        <w:rPr>
          <w:rFonts w:ascii="Montserrat" w:eastAsia="Times New Roman" w:hAnsi="Montserrat" w:cs="Arial"/>
        </w:rPr>
        <w:t>aron 5</w:t>
      </w:r>
      <w:r w:rsidRPr="00AF7183">
        <w:rPr>
          <w:rFonts w:ascii="Montserrat" w:eastAsia="Times New Roman" w:hAnsi="Montserrat" w:cs="Arial"/>
        </w:rPr>
        <w:t xml:space="preserve"> entidad paraestatal</w:t>
      </w:r>
      <w:r w:rsidR="00A259CD" w:rsidRPr="00AF7183">
        <w:rPr>
          <w:rFonts w:ascii="Montserrat" w:eastAsia="Times New Roman" w:hAnsi="Montserrat" w:cs="Arial"/>
        </w:rPr>
        <w:t>.</w:t>
      </w:r>
    </w:p>
    <w:p w14:paraId="17909BE1" w14:textId="77777777" w:rsidR="00F129E5" w:rsidRDefault="00F129E5" w:rsidP="00F129E5">
      <w:pPr>
        <w:tabs>
          <w:tab w:val="left" w:pos="7260"/>
        </w:tabs>
        <w:jc w:val="both"/>
        <w:rPr>
          <w:rFonts w:ascii="Montserrat" w:eastAsia="Times New Roman" w:hAnsi="Montserrat" w:cs="Arial"/>
        </w:rPr>
      </w:pPr>
    </w:p>
    <w:p w14:paraId="57589689" w14:textId="7F3B0DE2" w:rsidR="00B0059B" w:rsidRPr="00FD2DE6" w:rsidRDefault="00B0059B" w:rsidP="00F129E5">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lastRenderedPageBreak/>
        <w:t>Panorama Económico</w:t>
      </w:r>
    </w:p>
    <w:p w14:paraId="41F84279" w14:textId="34FAB9A4" w:rsidR="0061395E" w:rsidRPr="0061395E" w:rsidRDefault="0061395E" w:rsidP="00C96B91">
      <w:pPr>
        <w:spacing w:before="240" w:after="240"/>
        <w:jc w:val="both"/>
        <w:rPr>
          <w:rFonts w:ascii="Montserrat" w:eastAsia="Times New Roman" w:hAnsi="Montserrat" w:cs="Arial"/>
        </w:rPr>
      </w:pPr>
      <w:bookmarkStart w:id="3" w:name="_Hlk187928336"/>
      <w:r>
        <w:rPr>
          <w:rFonts w:ascii="Montserrat" w:eastAsia="Times New Roman" w:hAnsi="Montserrat" w:cs="Arial"/>
        </w:rPr>
        <w:t xml:space="preserve">La </w:t>
      </w:r>
      <w:r w:rsidRPr="0061395E">
        <w:rPr>
          <w:rFonts w:ascii="Montserrat" w:eastAsia="Times New Roman" w:hAnsi="Montserrat" w:cs="Arial"/>
        </w:rPr>
        <w:t xml:space="preserve">incertidumbre persiste sobre la economía mundial por la persistencia de los encuentros críticos bélicos en distintas partes del orbe mundial. La invasión rusa no ceja en su empeño en llegar al control del territorio perteneciente a Ucrania, situación que no ha sido fácil que por lo cual, la necedad del líder ruso de fomentar más la agresión. </w:t>
      </w:r>
    </w:p>
    <w:p w14:paraId="6C1AE3BC"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El choque deshumano e idealista de los israelíes en contra de los palestinos, es otra de las causas que impactan y tienen injerencia del comportamiento del crecimiento económico en esas zonas afectadas y repercute la tensión a nivel internacional con afectación de las variables en que se formula el crecimiento económico global.</w:t>
      </w:r>
    </w:p>
    <w:p w14:paraId="5E9FA3F2"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Cabe el propósito a pesar de las tensas circunstancias y el intento de no ceder ante las adversidades, de no ceder y seguir armando la estrategia para el continuo fortalecimiento de movilización de los factores productivos y avanzar con la modernización productiva, tomando en cuenta las decisiones de política monetaria que llegan tarde o mal aplicadas.</w:t>
      </w:r>
    </w:p>
    <w:p w14:paraId="2D617679"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Los pronósticos de </w:t>
      </w:r>
      <w:proofErr w:type="spellStart"/>
      <w:r w:rsidRPr="0061395E">
        <w:rPr>
          <w:rFonts w:ascii="Montserrat" w:eastAsia="Times New Roman" w:hAnsi="Montserrat" w:cs="Arial"/>
        </w:rPr>
        <w:t>Golman</w:t>
      </w:r>
      <w:proofErr w:type="spellEnd"/>
      <w:r w:rsidRPr="0061395E">
        <w:rPr>
          <w:rFonts w:ascii="Montserrat" w:eastAsia="Times New Roman" w:hAnsi="Montserrat" w:cs="Arial"/>
        </w:rPr>
        <w:t xml:space="preserve"> </w:t>
      </w:r>
      <w:proofErr w:type="spellStart"/>
      <w:r w:rsidRPr="0061395E">
        <w:rPr>
          <w:rFonts w:ascii="Montserrat" w:eastAsia="Times New Roman" w:hAnsi="Montserrat" w:cs="Arial"/>
        </w:rPr>
        <w:t>Sach</w:t>
      </w:r>
      <w:proofErr w:type="spellEnd"/>
      <w:r w:rsidRPr="0061395E">
        <w:rPr>
          <w:rFonts w:ascii="Montserrat" w:eastAsia="Times New Roman" w:hAnsi="Montserrat" w:cs="Arial"/>
        </w:rPr>
        <w:t xml:space="preserve"> y el Fondo Monetario Internacional (FMI) para la economía mundial para 2025, son del 2.7 % y 3.2 % respetivamente. Es moderada la perspectiva que presentan estas instituciones internacionales.</w:t>
      </w:r>
    </w:p>
    <w:p w14:paraId="0F0AC797"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 caída de la inflación al 4.5%, según el FMI será positiva, pero los mercados emergentes seguirán luchando por controlar sus precios. Mientras los bancos centrales de países desarrollados relajen sus tasas de interés —la Reserva Federal de Estados Unidos apunta a un 3.25-3.5%—, las economías de los países menos industrializados seguirán rezagadas, incapaces de igualar las condiciones financieras globales. (El Economista).</w:t>
      </w:r>
    </w:p>
    <w:p w14:paraId="2B97B835"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Estados Unidos (EU), parece estar a la cabeza de los países en crecimiento, con un crecimiento entre 1.9% y 2.5%, impulsado por un consumidor resiliente y un mercado laboral que desafía pronósticos. Pero el panorama no es uniforme: Europa tendrá un crecimiento proyectado entre apenas el 0.8% y 1.2%, atrapada en una crisis de identidad económica y política que sigue sin resolverse. Además, el proteccionismo de EU —dirigido especialmente contra China— podría desestabilizar cadenas de suministro </w:t>
      </w:r>
      <w:r w:rsidRPr="0061395E">
        <w:rPr>
          <w:rFonts w:ascii="Montserrat" w:eastAsia="Times New Roman" w:hAnsi="Montserrat" w:cs="Arial"/>
        </w:rPr>
        <w:lastRenderedPageBreak/>
        <w:t>y profundizar la creciente fragmentación económica global. (El Economista).</w:t>
      </w:r>
    </w:p>
    <w:p w14:paraId="7682A69D" w14:textId="188C3D3B"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China dejó en su historia económica los grandes datos de crecimiento económico de dos dígitos comparados con los actuales con un crecimiento proyectado entre 3.8% y 4.5%, su transición económica enfrenta problemas estructurales, particularmente en su tambaleante sector inmobiliario. Las respuestas del gobierno han sido tibias, y no parece haber un plan claro para revitalizar su economía sin recurrir a las medidas de siempre: aumento del gasto en infraestructura, bajar tasas de interés, apoyo al sector inmobiliario y devaluar el yuan para fomentar exportaciones.</w:t>
      </w:r>
    </w:p>
    <w:p w14:paraId="0D3EBB51"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Para los mercados emergentes, la historia es aún más complicada. Aunque países como India podrían crecer al 7%, las perspectivas para el resto no son tan optimistas. Los retos incluyen desde una mayor competencia por atraer capitales hasta el impacto de las disputas comerciales entre las grandes potencias.</w:t>
      </w:r>
    </w:p>
    <w:p w14:paraId="3AA4C3A8" w14:textId="646B223F"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Para el año 2025, ante la llegada una vez más a la presidencia de los Estados Unidos de Donald Trump que no es alentador ante el empeño de generar incertidumbre con políticas comerciales e impositivas como es el caso contra México, Canadá y China que son poco claras que para algunos analistas y políticos que lo catalogan como </w:t>
      </w:r>
      <w:r w:rsidR="00C96B91">
        <w:rPr>
          <w:rFonts w:ascii="Montserrat" w:eastAsia="Times New Roman" w:hAnsi="Montserrat" w:cs="Arial"/>
        </w:rPr>
        <w:t>“</w:t>
      </w:r>
      <w:proofErr w:type="spellStart"/>
      <w:r w:rsidRPr="0061395E">
        <w:rPr>
          <w:rFonts w:ascii="Montserrat" w:eastAsia="Times New Roman" w:hAnsi="Montserrat" w:cs="Arial"/>
        </w:rPr>
        <w:t>bravuconoría</w:t>
      </w:r>
      <w:proofErr w:type="spellEnd"/>
      <w:r w:rsidR="00C96B91">
        <w:rPr>
          <w:rFonts w:ascii="Montserrat" w:eastAsia="Times New Roman" w:hAnsi="Montserrat" w:cs="Arial"/>
        </w:rPr>
        <w:t>”</w:t>
      </w:r>
      <w:r w:rsidRPr="0061395E">
        <w:rPr>
          <w:rFonts w:ascii="Montserrat" w:eastAsia="Times New Roman" w:hAnsi="Montserrat" w:cs="Arial"/>
        </w:rPr>
        <w:t xml:space="preserve"> pero con alto impacto en el mercado financiero.</w:t>
      </w:r>
    </w:p>
    <w:p w14:paraId="5DF2C478"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En resumen, el 2025 parece encaminarse hacia un equilibrio precario, donde cada avance económico podría verse eclipsado por factores políticos y sociales. Las cifras son sólo un lado de la historia; los “peros” que las acompañan son los que realmente definirán el rumbo global. ¿Tendrán las instituciones internacionales la capacidad para prevenir una crisis mayor?</w:t>
      </w:r>
    </w:p>
    <w:p w14:paraId="45681186"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De acuerdo con la OCDE, 2025 tendrá un crecimiento mundial cercano a 3.3%, ligeramente superior al del 2024; pero la mayor parte de los países tendrán crecimientos inferiores a ese nivel.</w:t>
      </w:r>
    </w:p>
    <w:p w14:paraId="44752B07"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Según las últimas perspectivas económicas de la OCDE, se prevé que la economía mundial se mantenga resiliente a pesar de los importantes desafíos que enfrenta. En las Perspectivas se proyecta un crecimiento del PIB mundial del 3,3 % en 2025, frente al 3,2 % de 2024 y el 3,3 % de 2026.</w:t>
      </w:r>
    </w:p>
    <w:p w14:paraId="5E009437"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lastRenderedPageBreak/>
        <w:t>Se espera que la inflación en la OCDE se modere aún más, del 5,4% en 2024 al 3,8% en 2025 y al 3,0% en 2026, gracias a la postura aún restrictiva de la política monetaria en la mayoría de los países. La inflación general ya ha vuelto a los objetivos de los bancos centrales en casi la mitad de las economías avanzadas y cerca del 60% de las economías de mercados emergentes.</w:t>
      </w:r>
    </w:p>
    <w:p w14:paraId="5742F8AA"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Las perspectivas de crecimiento varían significativamente entre regiones. Se proyecta que el crecimiento del PIB en los Estados Unidos será del 2,8% en 2025, antes de desacelerarse al 2,4% en 2026. En la zona del euro, la recuperación de los ingresos reales de los hogares, la rigidez de los mercados laborales y las reducciones de las tasas de interés oficiales siguen impulsando el crecimiento. Se proyecta que el crecimiento del PIB de la zona del euro será del 1,3% en 2025 y del 1,5% en 2026. Se proyecta que el crecimiento en Japón se expandirá un 1,5% en 2025, pero luego disminuirá al 0,6% en 2026. Se espera que China continúe desacelerándose, con un crecimiento del PIB del 4,7% en 2025 y del 4,4% en 2026.  (EL MUNDO FINANCIERO. COM).</w:t>
      </w:r>
    </w:p>
    <w:p w14:paraId="3F4A872C" w14:textId="77777777" w:rsidR="0061395E" w:rsidRPr="00951C34" w:rsidRDefault="0061395E" w:rsidP="00C96B91">
      <w:pPr>
        <w:spacing w:before="240" w:after="240"/>
        <w:jc w:val="both"/>
        <w:rPr>
          <w:rFonts w:ascii="Montserrat" w:eastAsia="Times New Roman" w:hAnsi="Montserrat" w:cs="Arial"/>
          <w:b/>
          <w:bCs/>
        </w:rPr>
      </w:pPr>
      <w:r w:rsidRPr="00951C34">
        <w:rPr>
          <w:rFonts w:ascii="Montserrat" w:eastAsia="Times New Roman" w:hAnsi="Montserrat" w:cs="Arial"/>
          <w:b/>
          <w:bCs/>
        </w:rPr>
        <w:t>ESTADOS UNIDOS DE AMÉRICA.</w:t>
      </w:r>
    </w:p>
    <w:p w14:paraId="29306EAA" w14:textId="219648B5"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La toma de posesión en Estados Unidos a la presidencia el día 20 de enero de 2025 en su segundo periodo de mandato Donald Trump, estará llena de sorpresas ya que anticipadamente desde que obtuvo el triunfo electoral, ha mandado mucha información de lo que pretenderá llevar a cabo ya sentado en la silla presidencial. Subrayando en su enfoque económico, centrado en políticas proteccionistas y arancelarias, plantea desafíos importantes para el comercio global, especialmente en la relación con México, Canadá y China. </w:t>
      </w:r>
    </w:p>
    <w:p w14:paraId="421234C4"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 economía de EE. UU. ha funcionado bien últimamente, creciendo a un ritmo saludable del 2.0 % al 3.0 % anual. El tercer trimestre de 2024, cerró con porcentaje del 2.8 % anualizado. Pero, ¿durará esta fortaleza? Es probable que el crecimiento se ralentice gradualmente con el tiempo hasta alcanzar un ritmo más sostenible, pero eso no son malas noticias, sino buenas. La inflación (la tasa a la que suben los precios) también se acercará lentamente al 2.0 %. Como no se espera que la inflación baje rápidamente, es posible que la Reserva Federal (el banco central estadounidense, también llamado «la Fed») no reduzca las tasas de interés este año.</w:t>
      </w:r>
    </w:p>
    <w:p w14:paraId="4F7F2835"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lastRenderedPageBreak/>
        <w:t xml:space="preserve">Estimar lo que suceda en un futuro sobre la economía de un país y sobre todo en los momentos actuales es muy arriesgado. </w:t>
      </w:r>
    </w:p>
    <w:p w14:paraId="5C364D66"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“Entonces, ¿por qué Estados Unidos está a la cabeza en productividad mientras otros países se están quedando atrás? Gran parte de la respuesta está en su sector tecnológico. Desde el software a la inteligencia artificial, Estados Unidos es líder mundial en el desarrollo y la adopción de tecnologías de vanguardia. Los datos del </w:t>
      </w:r>
      <w:proofErr w:type="spellStart"/>
      <w:r w:rsidRPr="0061395E">
        <w:rPr>
          <w:rFonts w:ascii="Montserrat" w:eastAsia="Times New Roman" w:hAnsi="Montserrat" w:cs="Arial"/>
        </w:rPr>
        <w:t>Conference</w:t>
      </w:r>
      <w:proofErr w:type="spellEnd"/>
      <w:r w:rsidRPr="0061395E">
        <w:rPr>
          <w:rFonts w:ascii="Montserrat" w:eastAsia="Times New Roman" w:hAnsi="Montserrat" w:cs="Arial"/>
        </w:rPr>
        <w:t xml:space="preserve"> </w:t>
      </w:r>
      <w:proofErr w:type="spellStart"/>
      <w:r w:rsidRPr="0061395E">
        <w:rPr>
          <w:rFonts w:ascii="Montserrat" w:eastAsia="Times New Roman" w:hAnsi="Montserrat" w:cs="Arial"/>
        </w:rPr>
        <w:t>Board</w:t>
      </w:r>
      <w:proofErr w:type="spellEnd"/>
      <w:r w:rsidRPr="0061395E">
        <w:rPr>
          <w:rFonts w:ascii="Montserrat" w:eastAsia="Times New Roman" w:hAnsi="Montserrat" w:cs="Arial"/>
        </w:rPr>
        <w:t xml:space="preserve">, un </w:t>
      </w:r>
      <w:proofErr w:type="spellStart"/>
      <w:r w:rsidRPr="0061395E">
        <w:rPr>
          <w:rFonts w:ascii="Montserrat" w:eastAsia="Times New Roman" w:hAnsi="Montserrat" w:cs="Arial"/>
        </w:rPr>
        <w:t>think</w:t>
      </w:r>
      <w:proofErr w:type="spellEnd"/>
      <w:r w:rsidRPr="0061395E">
        <w:rPr>
          <w:rFonts w:ascii="Montserrat" w:eastAsia="Times New Roman" w:hAnsi="Montserrat" w:cs="Arial"/>
        </w:rPr>
        <w:t xml:space="preserve"> </w:t>
      </w:r>
      <w:proofErr w:type="spellStart"/>
      <w:r w:rsidRPr="0061395E">
        <w:rPr>
          <w:rFonts w:ascii="Montserrat" w:eastAsia="Times New Roman" w:hAnsi="Montserrat" w:cs="Arial"/>
        </w:rPr>
        <w:t>tank</w:t>
      </w:r>
      <w:proofErr w:type="spellEnd"/>
      <w:r w:rsidRPr="0061395E">
        <w:rPr>
          <w:rFonts w:ascii="Montserrat" w:eastAsia="Times New Roman" w:hAnsi="Montserrat" w:cs="Arial"/>
        </w:rPr>
        <w:t xml:space="preserve"> económico mundial, muestran que la mayoría de las economías avanzadas han visto caer su productividad en relación con EE. UU. en los últimos años. En Europa, por ejemplo, el crecimiento de la productividad se ralentizó bruscamente tras la crisis financiera de 2008 y aún no se ha recuperado.</w:t>
      </w:r>
    </w:p>
    <w:p w14:paraId="2A441B39"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 tecnología es una de las principales razones de esta brecha. Aunque los países europeos tienen industrias fuertes en áreas como la manufactura, les ha costado igualar a Estados Unidos en innovación tecnológica. Según un informe de Mario Draghi, ex presidente del Banco Central Europeo, si se excluye el sector tecnológico, el crecimiento de la productividad en la UE en las dos últimas décadas es aproximadamente el mismo que en Estados Unidos. En otras palabras, lo que diferencia a Estados Unidos es su dominio de la tecnología.</w:t>
      </w:r>
    </w:p>
    <w:p w14:paraId="11D51308" w14:textId="1D7002F3"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Otro factor crucial es su disposición a asumir riesgos. La inversión de capital riesgo en EE. UU. eclipsa la de otras naciones, representando el 83% de toda la financiación de riesgo en las economías del G7 durante la última década. Este flujo constante de dinero permite a las nuevas empresas experimentar, fracasar y volver a intentarlo. Los éxitos, a su vez, crean un «efecto volante» (</w:t>
      </w:r>
      <w:proofErr w:type="spellStart"/>
      <w:r w:rsidRPr="0061395E">
        <w:rPr>
          <w:rFonts w:ascii="Montserrat" w:eastAsia="Times New Roman" w:hAnsi="Montserrat" w:cs="Arial"/>
        </w:rPr>
        <w:t>flywheel</w:t>
      </w:r>
      <w:proofErr w:type="spellEnd"/>
      <w:r w:rsidRPr="0061395E">
        <w:rPr>
          <w:rFonts w:ascii="Montserrat" w:eastAsia="Times New Roman" w:hAnsi="Montserrat" w:cs="Arial"/>
        </w:rPr>
        <w:t xml:space="preserve"> </w:t>
      </w:r>
      <w:proofErr w:type="spellStart"/>
      <w:r w:rsidRPr="0061395E">
        <w:rPr>
          <w:rFonts w:ascii="Montserrat" w:eastAsia="Times New Roman" w:hAnsi="Montserrat" w:cs="Arial"/>
        </w:rPr>
        <w:t>effect</w:t>
      </w:r>
      <w:proofErr w:type="spellEnd"/>
      <w:r w:rsidRPr="0061395E">
        <w:rPr>
          <w:rFonts w:ascii="Montserrat" w:eastAsia="Times New Roman" w:hAnsi="Montserrat" w:cs="Arial"/>
        </w:rPr>
        <w:t xml:space="preserve">), por el que las empresas de éxito financian a futuras generaciones de emprendedores”. (DOMINION CAPITAL </w:t>
      </w:r>
      <w:proofErr w:type="spellStart"/>
      <w:r w:rsidRPr="0061395E">
        <w:rPr>
          <w:rFonts w:ascii="Montserrat" w:eastAsia="Times New Roman" w:hAnsi="Montserrat" w:cs="Arial"/>
        </w:rPr>
        <w:t>ESTRATEGIES</w:t>
      </w:r>
      <w:proofErr w:type="spellEnd"/>
      <w:r w:rsidRPr="0061395E">
        <w:rPr>
          <w:rFonts w:ascii="Montserrat" w:eastAsia="Times New Roman" w:hAnsi="Montserrat" w:cs="Arial"/>
        </w:rPr>
        <w:t>).</w:t>
      </w:r>
    </w:p>
    <w:p w14:paraId="3647CBA9" w14:textId="6E6BCDDF"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El Fondo Monetario Internacional (FMI) revisó al alza su previsión de crecimiento de Estados, al 2</w:t>
      </w:r>
      <w:r w:rsidR="00951C34">
        <w:rPr>
          <w:rFonts w:ascii="Montserrat" w:eastAsia="Times New Roman" w:hAnsi="Montserrat" w:cs="Arial"/>
        </w:rPr>
        <w:t>.</w:t>
      </w:r>
      <w:r w:rsidRPr="0061395E">
        <w:rPr>
          <w:rFonts w:ascii="Montserrat" w:eastAsia="Times New Roman" w:hAnsi="Montserrat" w:cs="Arial"/>
        </w:rPr>
        <w:t>8 %, debido en gran medida a un consumo más fuerte de lo esperado, impulsado por el aumento de los salarios y los precios de los activos. Así mismo, también mejoró su perspectiva de crecimiento de Estados Unidos para 2025 al 2</w:t>
      </w:r>
      <w:r w:rsidR="00951C34">
        <w:rPr>
          <w:rFonts w:ascii="Montserrat" w:eastAsia="Times New Roman" w:hAnsi="Montserrat" w:cs="Arial"/>
        </w:rPr>
        <w:t>.</w:t>
      </w:r>
      <w:r w:rsidRPr="0061395E">
        <w:rPr>
          <w:rFonts w:ascii="Montserrat" w:eastAsia="Times New Roman" w:hAnsi="Montserrat" w:cs="Arial"/>
        </w:rPr>
        <w:t>2%.</w:t>
      </w:r>
    </w:p>
    <w:p w14:paraId="7B5CDD3F" w14:textId="77777777" w:rsidR="0061395E" w:rsidRPr="00951C34" w:rsidRDefault="0061395E" w:rsidP="00C96B91">
      <w:pPr>
        <w:spacing w:before="240" w:after="240"/>
        <w:jc w:val="both"/>
        <w:rPr>
          <w:rFonts w:ascii="Montserrat" w:eastAsia="Times New Roman" w:hAnsi="Montserrat" w:cs="Arial"/>
          <w:b/>
          <w:bCs/>
        </w:rPr>
      </w:pPr>
      <w:r w:rsidRPr="00951C34">
        <w:rPr>
          <w:rFonts w:ascii="Montserrat" w:eastAsia="Times New Roman" w:hAnsi="Montserrat" w:cs="Arial"/>
          <w:b/>
          <w:bCs/>
        </w:rPr>
        <w:t>MÉXICO</w:t>
      </w:r>
    </w:p>
    <w:p w14:paraId="34A0A556"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El año 2025 para México no es nada alentador. Es un hecho, el regreso de Donald Trump a La Casa Blanca habrá de incrementar la incertidumbre </w:t>
      </w:r>
      <w:r w:rsidRPr="0061395E">
        <w:rPr>
          <w:rFonts w:ascii="Montserrat" w:eastAsia="Times New Roman" w:hAnsi="Montserrat" w:cs="Arial"/>
        </w:rPr>
        <w:lastRenderedPageBreak/>
        <w:t>económica, financiera, comercial, migratoria, política y demás, con malas expectativas para nuestro país. Sus amenazas en su proselitismo hasta días antes de asumir la presiden no ha dejado de crear un ambiente de incertidumbre al grado que como es el perfil del personaje como que disfrutara de las respuestas que el gobierno mexicano realiza sobre sus advertencias.</w:t>
      </w:r>
    </w:p>
    <w:p w14:paraId="11F39A01"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Las expectativas para México este año no son halagüeñas porque aun antes de que se cumpla cualquiera de las amenazas de Trump ya tiene este país un escenario de desaceleración económica, incluso con posibilidades de recesión, que claramente se agravarían si se cumplen las amenazas del republicano.</w:t>
      </w:r>
    </w:p>
    <w:p w14:paraId="4967CFF6"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 expectativa media de crecimiento para la economía mexicana el primer año de gobierno de Claudia Sheinbaum, es de 1.23% según los resultados de la Encuesta de Especialistas del sector privado del Banco de México (Banxico).</w:t>
      </w:r>
    </w:p>
    <w:p w14:paraId="2EA1E1AA" w14:textId="38C5C9FD"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Para ponderar las expectativas que tienen 41 grupos de análisis y consultoría económica del sector privado consultados, basta recordar que el Fondo Monetario Internacional (FMI) acaba de recortar a 1.3% su expectativa del PIB para México en 2025 y la Secretaría de Hacienda sostuvo que la economía crecerá por arriba de esa proyección, en un rango que puede quedar entre 2 y 3 por ciento.</w:t>
      </w:r>
    </w:p>
    <w:p w14:paraId="135B13AC"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“Tal como lo explicaron expertos de Monex, Franklin </w:t>
      </w:r>
      <w:proofErr w:type="spellStart"/>
      <w:r w:rsidRPr="0061395E">
        <w:rPr>
          <w:rFonts w:ascii="Montserrat" w:eastAsia="Times New Roman" w:hAnsi="Montserrat" w:cs="Arial"/>
        </w:rPr>
        <w:t>Templeton</w:t>
      </w:r>
      <w:proofErr w:type="spellEnd"/>
      <w:r w:rsidRPr="0061395E">
        <w:rPr>
          <w:rFonts w:ascii="Montserrat" w:eastAsia="Times New Roman" w:hAnsi="Montserrat" w:cs="Arial"/>
        </w:rPr>
        <w:t xml:space="preserve"> y la aseguradora de crédito </w:t>
      </w:r>
      <w:proofErr w:type="spellStart"/>
      <w:r w:rsidRPr="0061395E">
        <w:rPr>
          <w:rFonts w:ascii="Montserrat" w:eastAsia="Times New Roman" w:hAnsi="Montserrat" w:cs="Arial"/>
        </w:rPr>
        <w:t>Coface</w:t>
      </w:r>
      <w:proofErr w:type="spellEnd"/>
      <w:r w:rsidRPr="0061395E">
        <w:rPr>
          <w:rFonts w:ascii="Montserrat" w:eastAsia="Times New Roman" w:hAnsi="Montserrat" w:cs="Arial"/>
        </w:rPr>
        <w:t>, esta moderación en la actividad económica reflejará el impacto de una política fiscal restrictiva, así como la marcada moderación del flujo de inversiones, resultado de las expectativas inciertas ante la entrada del gobierno de Donald Trump.</w:t>
      </w:r>
    </w:p>
    <w:p w14:paraId="280E69F4"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Para el año en curso 2024, los analistas de Banxico, anticipan que la economía registrará un crecimiento de 1.55%.”. (El Economista).</w:t>
      </w:r>
    </w:p>
    <w:p w14:paraId="4C037F85" w14:textId="259B6B99"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Los encuestados también hicieron resaltar otros problemas que obstaculizarían el crecimiento de México como es la inseguridad pública, la incertidumbre por la política interna y “otros problemas de falta de estado de derecho</w:t>
      </w:r>
      <w:r w:rsidR="00951C34">
        <w:rPr>
          <w:rFonts w:ascii="Montserrat" w:eastAsia="Times New Roman" w:hAnsi="Montserrat" w:cs="Arial"/>
        </w:rPr>
        <w:t>”</w:t>
      </w:r>
      <w:r w:rsidRPr="0061395E">
        <w:rPr>
          <w:rFonts w:ascii="Montserrat" w:eastAsia="Times New Roman" w:hAnsi="Montserrat" w:cs="Arial"/>
        </w:rPr>
        <w:t xml:space="preserve"> como los mayores obstáculos para el crecimiento en los próximos seis meses.</w:t>
      </w:r>
    </w:p>
    <w:p w14:paraId="3D3FEEE7" w14:textId="5F5BFE09"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lastRenderedPageBreak/>
        <w:t>La calificadora Moody’s hace la siguiente observación sobre el crecimiento económico de México por efecto Donald Trump, dice: “La economía mexicana será una de las más expuestas a los efectos negativos de las políticas económicas del presidente estadounidense Trump. Esto no s</w:t>
      </w:r>
      <w:r w:rsidR="00951C34">
        <w:rPr>
          <w:rFonts w:ascii="Montserrat" w:eastAsia="Times New Roman" w:hAnsi="Montserrat" w:cs="Arial"/>
        </w:rPr>
        <w:t>ó</w:t>
      </w:r>
      <w:r w:rsidRPr="0061395E">
        <w:rPr>
          <w:rFonts w:ascii="Montserrat" w:eastAsia="Times New Roman" w:hAnsi="Montserrat" w:cs="Arial"/>
        </w:rPr>
        <w:t>lo porque México es uno de los objetivos de Trump, sino también por sus fuertes lazos comerciales y de inversión con la economía de los Estados Unidos. Con base en esto, estamos revisando a la baja las perspectivas de crecimiento económico de México para 2025 y 2026.”</w:t>
      </w:r>
    </w:p>
    <w:p w14:paraId="58BCE8BC" w14:textId="672D8E76"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Moody’s añade a sus comentarios “Como consecuencia de ello, estamos reduciendo nuestro estimado de crecimiento del PIB a 0.6% en 2025 desde un 1.3% en 2024. La debilidad de la economía empeorará en 2025 ya que la brecha comercial negativa del país se ampliará debido a que los aranceles estadounidenses reducirán la demanda de exportaciones mexicanas, pero también porque la economía de Estados Unidos crecerá más lentamente en 2025”.</w:t>
      </w:r>
    </w:p>
    <w:p w14:paraId="623965D0"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Las remesas, el complemento principal que apoya a la demanda interna de los consumidores de la familia de emigrantes mexicanos, entre las más afectadas por aranceles anunciado por Trump Añadió que las remesas se verán afectadas por la política de inmigración estadounidense a través de las deportaciones de trabajadores mexicanos indocumentados.</w:t>
      </w:r>
    </w:p>
    <w:p w14:paraId="4F03BD85"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 opinión de la Organización para la Cooperación y el Desarrollo Económico (OCDE), coincide en la apuesta sobre lo se espera de la economía de México donde dice que muestra signos de recuperación gradual para este 2025, con un crecimiento proyectado del 1.4% en 2024, 1.2% en 2025 y un repunte al 1.6% en 2026. La disminución de la inflación y la flexibilización de la política monetaria podría crear un entorno más favorable para el consumo y la inversión, impulsando la actividad económica en los próximos años, según fue publicado por en el informe “Panorama Económico de México” de la Organización para la Cooperación y el Desarrollo Económico (OCDE).</w:t>
      </w:r>
    </w:p>
    <w:p w14:paraId="5D8A72CD" w14:textId="77777777" w:rsidR="0061395E" w:rsidRPr="00951C34" w:rsidRDefault="0061395E" w:rsidP="00C96B91">
      <w:pPr>
        <w:spacing w:before="240" w:after="240"/>
        <w:jc w:val="both"/>
        <w:rPr>
          <w:rFonts w:ascii="Montserrat" w:eastAsia="Times New Roman" w:hAnsi="Montserrat" w:cs="Arial"/>
          <w:b/>
          <w:bCs/>
        </w:rPr>
      </w:pPr>
      <w:r w:rsidRPr="00951C34">
        <w:rPr>
          <w:rFonts w:ascii="Montserrat" w:eastAsia="Times New Roman" w:hAnsi="Montserrat" w:cs="Arial"/>
          <w:b/>
          <w:bCs/>
        </w:rPr>
        <w:t>Producto Interno Bruto (PIB).</w:t>
      </w:r>
    </w:p>
    <w:p w14:paraId="23631A5C" w14:textId="59BF33FC"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El Producto Interno Bruto (PIB) de México, con datos del Instituto Nacional de Estadística y Geografía (INEGI) en primer trimestre 2024 y con series desestacionalizados, el PIB creció 1.6% con respecto al tercer trimestre del año 2023. (INEGI 30 de octubre de 2024).</w:t>
      </w:r>
    </w:p>
    <w:p w14:paraId="2BF706E0" w14:textId="77777777" w:rsidR="0061395E" w:rsidRPr="0061395E" w:rsidRDefault="0061395E" w:rsidP="00951C34">
      <w:pPr>
        <w:spacing w:before="240"/>
        <w:jc w:val="both"/>
        <w:rPr>
          <w:rFonts w:ascii="Montserrat" w:eastAsia="Times New Roman" w:hAnsi="Montserrat" w:cs="Arial"/>
        </w:rPr>
      </w:pPr>
      <w:r w:rsidRPr="0061395E">
        <w:rPr>
          <w:rFonts w:ascii="Montserrat" w:eastAsia="Times New Roman" w:hAnsi="Montserrat" w:cs="Arial"/>
          <w:noProof/>
        </w:rPr>
        <w:lastRenderedPageBreak/>
        <w:drawing>
          <wp:inline distT="0" distB="0" distL="0" distR="0" wp14:anchorId="0952F03F" wp14:editId="4DD74BE5">
            <wp:extent cx="5518785" cy="2529017"/>
            <wp:effectExtent l="0" t="0" r="5715" b="5080"/>
            <wp:docPr id="1550385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8501" name=""/>
                    <pic:cNvPicPr/>
                  </pic:nvPicPr>
                  <pic:blipFill rotWithShape="1">
                    <a:blip r:embed="rId8"/>
                    <a:srcRect l="30399" t="46502" r="31128" b="25290"/>
                    <a:stretch/>
                  </pic:blipFill>
                  <pic:spPr bwMode="auto">
                    <a:xfrm>
                      <a:off x="0" y="0"/>
                      <a:ext cx="5577592" cy="2555966"/>
                    </a:xfrm>
                    <a:prstGeom prst="rect">
                      <a:avLst/>
                    </a:prstGeom>
                    <a:ln>
                      <a:noFill/>
                    </a:ln>
                    <a:extLst>
                      <a:ext uri="{53640926-AAD7-44D8-BBD7-CCE9431645EC}">
                        <a14:shadowObscured xmlns:a14="http://schemas.microsoft.com/office/drawing/2010/main"/>
                      </a:ext>
                    </a:extLst>
                  </pic:spPr>
                </pic:pic>
              </a:graphicData>
            </a:graphic>
          </wp:inline>
        </w:drawing>
      </w:r>
    </w:p>
    <w:p w14:paraId="3ECF95D8" w14:textId="77777777" w:rsidR="0061395E" w:rsidRPr="00951C34" w:rsidRDefault="0061395E" w:rsidP="00951C34">
      <w:pPr>
        <w:spacing w:after="240"/>
        <w:jc w:val="both"/>
        <w:rPr>
          <w:rFonts w:ascii="Montserrat" w:eastAsia="Times New Roman" w:hAnsi="Montserrat" w:cs="Arial"/>
          <w:sz w:val="18"/>
          <w:szCs w:val="18"/>
        </w:rPr>
      </w:pPr>
      <w:r w:rsidRPr="00951C34">
        <w:rPr>
          <w:rFonts w:ascii="Montserrat" w:eastAsia="Times New Roman" w:hAnsi="Montserrat" w:cs="Arial"/>
          <w:sz w:val="18"/>
          <w:szCs w:val="18"/>
        </w:rPr>
        <w:t>Fuente: INEGI. Actualización 30 de octubre de 2024.</w:t>
      </w:r>
    </w:p>
    <w:p w14:paraId="3CB44A79" w14:textId="4184E06F"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Se puede estimar con el dato arrojado por el INEGI, para el cierre del cuarto trimestre del año 2024, el PIB oscilará entre 1.4% a I.6%, alejado a los presupuestado entre 2.0% y 3.0% por la Secretaría de Hacienda y Crédito Público.</w:t>
      </w:r>
    </w:p>
    <w:p w14:paraId="6B99D6FA" w14:textId="21A2EBC0"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Las Actividades Secundarias ha presentado resistencia al registrar 0.4% de crecimiento debido que el sector manufacturero se ha visto rezagado.</w:t>
      </w:r>
    </w:p>
    <w:p w14:paraId="07D9188E"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El Banco Mundial sustenta el cambio de opinión sobre el porcentaje porcentual del crecimiento económico de México, es debido por la lentitud de respuesta hacia inversión extranjera motivada por el proyecto de oportunidad de la relocalización de empresas llamada nearshoring puntualizando las dudas sobre la disponibilidad de agua y energía.</w:t>
      </w:r>
    </w:p>
    <w:p w14:paraId="2E8FAA12" w14:textId="56FB8299" w:rsidR="0061395E" w:rsidRPr="0061395E" w:rsidRDefault="007231FF" w:rsidP="00C96B91">
      <w:pPr>
        <w:spacing w:before="240" w:after="240"/>
        <w:jc w:val="both"/>
        <w:rPr>
          <w:rFonts w:ascii="Montserrat" w:eastAsia="Times New Roman" w:hAnsi="Montserrat" w:cs="Arial"/>
        </w:rPr>
      </w:pPr>
      <w:r>
        <w:rPr>
          <w:rFonts w:ascii="Montserrat" w:eastAsia="Times New Roman" w:hAnsi="Montserrat" w:cs="Arial"/>
        </w:rPr>
        <w:t xml:space="preserve">El </w:t>
      </w:r>
      <w:r w:rsidR="0061395E" w:rsidRPr="0061395E">
        <w:rPr>
          <w:rFonts w:ascii="Montserrat" w:eastAsia="Times New Roman" w:hAnsi="Montserrat" w:cs="Arial"/>
        </w:rPr>
        <w:t>BM tiene presente que México es privilegiado desde el momento de la cercanía con los Estados Unidos. Esta condición geográfica le resulta altamente favorable para atraer las empresas que tienen planes de emigrar y mantenerse en la cercanía del mercado más grande del mundo.</w:t>
      </w:r>
    </w:p>
    <w:p w14:paraId="587C4E01" w14:textId="77777777" w:rsidR="0061395E" w:rsidRPr="007231FF" w:rsidRDefault="0061395E" w:rsidP="00C96B91">
      <w:pPr>
        <w:spacing w:before="240" w:after="240"/>
        <w:jc w:val="both"/>
        <w:rPr>
          <w:rFonts w:ascii="Montserrat" w:eastAsia="Times New Roman" w:hAnsi="Montserrat" w:cs="Arial"/>
          <w:b/>
          <w:bCs/>
        </w:rPr>
      </w:pPr>
      <w:r w:rsidRPr="007231FF">
        <w:rPr>
          <w:rFonts w:ascii="Montserrat" w:eastAsia="Times New Roman" w:hAnsi="Montserrat" w:cs="Arial"/>
          <w:b/>
          <w:bCs/>
        </w:rPr>
        <w:t xml:space="preserve">INFLACIÓN </w:t>
      </w:r>
    </w:p>
    <w:p w14:paraId="33C9518F" w14:textId="3FE574B9"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El Instituto Nacional de Estadística y Geografía (INEGI), reporta la inflación anual al cierre del mes diciembre de 2024, de 4.21%. El Banco de México (Banxico), apegado a la estrategia de controlar la inflación cuyo medio es a través de la tasa de referencia, que después de la aplicación de ajustes a la baja durante el año cerrándola en el nivel de 10.0%, aún en nivel, sigue </w:t>
      </w:r>
      <w:r w:rsidRPr="0061395E">
        <w:rPr>
          <w:rFonts w:ascii="Montserrat" w:eastAsia="Times New Roman" w:hAnsi="Montserrat" w:cs="Arial"/>
        </w:rPr>
        <w:lastRenderedPageBreak/>
        <w:t xml:space="preserve">siendo muy alta para generar el estímulo para la disposición del crédito. El propósito de Banxico es llevar a la inflación en los niveles de +/- 1 de 3.0%. Los últimos meses del año la inflación ha mostrado una desaceleración. </w:t>
      </w:r>
    </w:p>
    <w:p w14:paraId="4D4AA295" w14:textId="77777777" w:rsidR="0061395E" w:rsidRPr="007231FF" w:rsidRDefault="0061395E" w:rsidP="00C96B91">
      <w:pPr>
        <w:spacing w:before="240" w:after="240"/>
        <w:jc w:val="both"/>
        <w:rPr>
          <w:rFonts w:ascii="Montserrat" w:eastAsia="Times New Roman" w:hAnsi="Montserrat" w:cs="Arial"/>
          <w:b/>
          <w:bCs/>
        </w:rPr>
      </w:pPr>
      <w:r w:rsidRPr="007231FF">
        <w:rPr>
          <w:rFonts w:ascii="Montserrat" w:eastAsia="Times New Roman" w:hAnsi="Montserrat" w:cs="Arial"/>
          <w:b/>
          <w:bCs/>
        </w:rPr>
        <w:t>Trabajadores Asegurados en el Instituto Mexicano del Seguro Social (IMSS).</w:t>
      </w:r>
    </w:p>
    <w:p w14:paraId="434BFA7B" w14:textId="6729BC08"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Con información de la Secretaría del Trabajo y Prevención Social, (</w:t>
      </w:r>
      <w:proofErr w:type="spellStart"/>
      <w:r w:rsidRPr="0061395E">
        <w:rPr>
          <w:rFonts w:ascii="Montserrat" w:eastAsia="Times New Roman" w:hAnsi="Montserrat" w:cs="Arial"/>
        </w:rPr>
        <w:t>STYPS</w:t>
      </w:r>
      <w:proofErr w:type="spellEnd"/>
      <w:r w:rsidRPr="0061395E">
        <w:rPr>
          <w:rFonts w:ascii="Montserrat" w:eastAsia="Times New Roman" w:hAnsi="Montserrat" w:cs="Arial"/>
        </w:rPr>
        <w:t>), el número de trabajadores asegurados en el IMSS al mes de diciembre de 2024, fue de 22,238,379 trabajadores. El 87.70% son de la categoría de permanentes, Urbanos 10.52% y Del campo 1.08%. En números absolutos se generaron de enero a junio de 2024, 104,972 puestos de trabajo que corresponden porcentualmente el 0.47%.</w:t>
      </w:r>
    </w:p>
    <w:p w14:paraId="54D51E0B"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Durante diciembre pasado se perdieron solo 405 mil 259 empleos formales en México, la mayor eliminación de puestos laborales para dicho mes desde 1997, fecha más antigua de la que tiene registro de afiliados el Instituto Mexicano del Seguro Social (IMSS).</w:t>
      </w:r>
    </w:p>
    <w:p w14:paraId="0EEE7247"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El reporte del análisis del índice del empleo aporta información de mucha significación que ayuda entender el comportamiento del crecimiento económico. Así mismo, es necesario comentar que se observa una desaceleración de la actividad de la economía mexicana.</w:t>
      </w:r>
    </w:p>
    <w:p w14:paraId="6CA2BEF2" w14:textId="77777777" w:rsidR="0061395E" w:rsidRPr="007231FF" w:rsidRDefault="0061395E" w:rsidP="00C96B91">
      <w:pPr>
        <w:spacing w:before="240" w:after="240"/>
        <w:jc w:val="both"/>
        <w:rPr>
          <w:rFonts w:ascii="Montserrat" w:eastAsia="Times New Roman" w:hAnsi="Montserrat" w:cs="Arial"/>
          <w:b/>
          <w:bCs/>
        </w:rPr>
      </w:pPr>
      <w:r w:rsidRPr="007231FF">
        <w:rPr>
          <w:rFonts w:ascii="Montserrat" w:eastAsia="Times New Roman" w:hAnsi="Montserrat" w:cs="Arial"/>
          <w:b/>
          <w:bCs/>
        </w:rPr>
        <w:t xml:space="preserve">INVERSIÓN EXTRAJERA DIRECTA </w:t>
      </w:r>
    </w:p>
    <w:p w14:paraId="3A8429BF"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Inversión Extranjera Directa (IED) en México. Al cierre del tercer trimestre de 2024, La Secretaría de Economía informa el alance máximo registrado durante este periodo relacionado con la IED en México de 35 mil 737 millones de dólares corrientes (mdd), siendo la cifra más alta del periodo desde que se tiene registro. El aumento de la IED respecto a la reportada para el 3T de 2023 es del 9%. La particularidad de esta captación es que el mayor porcentaje corresponde al concepto de reinversión que demuestra la confianza de los inversionistas extranjeros en México</w:t>
      </w:r>
    </w:p>
    <w:p w14:paraId="7B426A83"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noProof/>
        </w:rPr>
        <w:lastRenderedPageBreak/>
        <w:drawing>
          <wp:inline distT="0" distB="0" distL="0" distR="0" wp14:anchorId="57877412" wp14:editId="027CB541">
            <wp:extent cx="5824151" cy="2623207"/>
            <wp:effectExtent l="0" t="0" r="5715" b="5715"/>
            <wp:docPr id="11186094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09497" name=""/>
                    <pic:cNvPicPr/>
                  </pic:nvPicPr>
                  <pic:blipFill rotWithShape="1">
                    <a:blip r:embed="rId9"/>
                    <a:srcRect l="25263" t="41098" r="24210" b="22492"/>
                    <a:stretch/>
                  </pic:blipFill>
                  <pic:spPr bwMode="auto">
                    <a:xfrm>
                      <a:off x="0" y="0"/>
                      <a:ext cx="5878050" cy="2647483"/>
                    </a:xfrm>
                    <a:prstGeom prst="rect">
                      <a:avLst/>
                    </a:prstGeom>
                    <a:ln>
                      <a:noFill/>
                    </a:ln>
                    <a:extLst>
                      <a:ext uri="{53640926-AAD7-44D8-BBD7-CCE9431645EC}">
                        <a14:shadowObscured xmlns:a14="http://schemas.microsoft.com/office/drawing/2010/main"/>
                      </a:ext>
                    </a:extLst>
                  </pic:spPr>
                </pic:pic>
              </a:graphicData>
            </a:graphic>
          </wp:inline>
        </w:drawing>
      </w:r>
    </w:p>
    <w:p w14:paraId="1E1CE9B1" w14:textId="77777777" w:rsidR="007231FF" w:rsidRDefault="0061395E" w:rsidP="007231FF">
      <w:pPr>
        <w:spacing w:before="240"/>
        <w:jc w:val="both"/>
        <w:rPr>
          <w:rFonts w:ascii="Montserrat" w:eastAsia="Times New Roman" w:hAnsi="Montserrat" w:cs="Arial"/>
        </w:rPr>
      </w:pPr>
      <w:r w:rsidRPr="0061395E">
        <w:rPr>
          <w:rFonts w:ascii="Montserrat" w:eastAsia="Times New Roman" w:hAnsi="Montserrat" w:cs="Arial"/>
        </w:rPr>
        <w:t>La IED reportada en el periodo, el 86% (30,745 mdd) corresponde a reinversión de utilidades que no retornaron a su país de origen; el 6% (2,060 mdd) al establecimiento de nuevas inversiones con capital extranjero y al aumento o incorporación de capital extranjero en las empresas ya establecidas en México; y el 8% restante (2,932 mdd) a cuentas entre compañías como son préstamos, cobros y pagos entre empresas del mismo grupo corporativo en el exterior.</w:t>
      </w:r>
    </w:p>
    <w:p w14:paraId="3DFD1388" w14:textId="471F7D76" w:rsidR="0061395E" w:rsidRPr="0061395E" w:rsidRDefault="0061395E" w:rsidP="007231FF">
      <w:pPr>
        <w:spacing w:after="240"/>
        <w:jc w:val="both"/>
        <w:rPr>
          <w:rFonts w:ascii="Montserrat" w:eastAsia="Times New Roman" w:hAnsi="Montserrat" w:cs="Arial"/>
        </w:rPr>
      </w:pPr>
      <w:r w:rsidRPr="0061395E">
        <w:rPr>
          <w:rFonts w:ascii="Montserrat" w:eastAsia="Times New Roman" w:hAnsi="Montserrat" w:cs="Arial"/>
        </w:rPr>
        <w:t xml:space="preserve"> </w:t>
      </w:r>
      <w:r w:rsidRPr="0061395E">
        <w:rPr>
          <w:rFonts w:ascii="Montserrat" w:eastAsia="Times New Roman" w:hAnsi="Montserrat" w:cs="Arial"/>
          <w:noProof/>
        </w:rPr>
        <w:drawing>
          <wp:inline distT="0" distB="0" distL="0" distR="0" wp14:anchorId="05422282" wp14:editId="553288EE">
            <wp:extent cx="5610225" cy="304800"/>
            <wp:effectExtent l="0" t="0" r="0" b="0"/>
            <wp:docPr id="1525638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04800"/>
                    </a:xfrm>
                    <a:prstGeom prst="rect">
                      <a:avLst/>
                    </a:prstGeom>
                    <a:noFill/>
                    <a:ln>
                      <a:noFill/>
                    </a:ln>
                  </pic:spPr>
                </pic:pic>
              </a:graphicData>
            </a:graphic>
          </wp:inline>
        </w:drawing>
      </w:r>
    </w:p>
    <w:p w14:paraId="30E330A2" w14:textId="77777777" w:rsidR="0061395E" w:rsidRPr="0061395E" w:rsidRDefault="0061395E" w:rsidP="007231FF">
      <w:pPr>
        <w:spacing w:before="240" w:after="240"/>
        <w:jc w:val="center"/>
        <w:rPr>
          <w:rFonts w:ascii="Montserrat" w:eastAsia="Times New Roman" w:hAnsi="Montserrat" w:cs="Arial"/>
        </w:rPr>
      </w:pPr>
      <w:r w:rsidRPr="0061395E">
        <w:rPr>
          <w:rFonts w:ascii="Montserrat" w:eastAsia="Times New Roman" w:hAnsi="Montserrat" w:cs="Arial"/>
          <w:noProof/>
        </w:rPr>
        <w:drawing>
          <wp:inline distT="0" distB="0" distL="0" distR="0" wp14:anchorId="0EBBE9AC" wp14:editId="5A002028">
            <wp:extent cx="5123935" cy="2488307"/>
            <wp:effectExtent l="0" t="0" r="635" b="7620"/>
            <wp:docPr id="513195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95866" name=""/>
                    <pic:cNvPicPr/>
                  </pic:nvPicPr>
                  <pic:blipFill rotWithShape="1">
                    <a:blip r:embed="rId11"/>
                    <a:srcRect l="32024" t="56598" r="31697" b="15214"/>
                    <a:stretch/>
                  </pic:blipFill>
                  <pic:spPr bwMode="auto">
                    <a:xfrm>
                      <a:off x="0" y="0"/>
                      <a:ext cx="5298631" cy="2573144"/>
                    </a:xfrm>
                    <a:prstGeom prst="rect">
                      <a:avLst/>
                    </a:prstGeom>
                    <a:ln>
                      <a:noFill/>
                    </a:ln>
                    <a:extLst>
                      <a:ext uri="{53640926-AAD7-44D8-BBD7-CCE9431645EC}">
                        <a14:shadowObscured xmlns:a14="http://schemas.microsoft.com/office/drawing/2010/main"/>
                      </a:ext>
                    </a:extLst>
                  </pic:spPr>
                </pic:pic>
              </a:graphicData>
            </a:graphic>
          </wp:inline>
        </w:drawing>
      </w:r>
    </w:p>
    <w:p w14:paraId="16CD83BB" w14:textId="39015D70"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La distribución sectorial del total de IED de 35,737 mdd durante el tercer trimestre de 2024. Industria manufacturera: 19,407 mdd que corresponde </w:t>
      </w:r>
      <w:r w:rsidRPr="0061395E">
        <w:rPr>
          <w:rFonts w:ascii="Montserrat" w:eastAsia="Times New Roman" w:hAnsi="Montserrat" w:cs="Arial"/>
        </w:rPr>
        <w:lastRenderedPageBreak/>
        <w:t>el 54%, Servicios financieros y de seguros con 5,493 mdd el 15%, Minería 3,324 mdd el 9%, Transporte, correos y almacenamiento con 2,437 mdd el 7%, Alojamiento temporal 2,244 mdd el 6%, Comercio al por mayor 1,353 mdd el 4 %, Comercio al por menor 1,048 mdd el 3% y Otros con 430 mdd el 2%.</w:t>
      </w:r>
    </w:p>
    <w:p w14:paraId="648745C3" w14:textId="7B9985EF"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Los principales 10 países extranjeros que invirtieron en México durante el tercer trimestre de 2024. Por el monto invertido corresponde el 91% y el 9% restante se distribuye en 78 países. Como se observa, Estados unidos participa con el mayor porcentaje con el 41%. </w:t>
      </w:r>
      <w:bookmarkStart w:id="4" w:name="_Hlk187406356"/>
      <w:r w:rsidRPr="0061395E">
        <w:rPr>
          <w:rFonts w:ascii="Montserrat" w:eastAsia="Times New Roman" w:hAnsi="Montserrat" w:cs="Arial"/>
        </w:rPr>
        <w:t>(Información Secretaría de Economía).</w:t>
      </w:r>
      <w:bookmarkEnd w:id="4"/>
    </w:p>
    <w:p w14:paraId="348C23FB" w14:textId="77777777" w:rsidR="0061395E" w:rsidRPr="0061395E" w:rsidRDefault="0061395E" w:rsidP="007231FF">
      <w:pPr>
        <w:spacing w:before="240" w:after="240"/>
        <w:jc w:val="center"/>
        <w:rPr>
          <w:rFonts w:ascii="Montserrat" w:eastAsia="Times New Roman" w:hAnsi="Montserrat" w:cs="Arial"/>
        </w:rPr>
      </w:pPr>
      <w:r w:rsidRPr="0061395E">
        <w:rPr>
          <w:rFonts w:ascii="Montserrat" w:eastAsia="Times New Roman" w:hAnsi="Montserrat" w:cs="Arial"/>
          <w:noProof/>
        </w:rPr>
        <w:drawing>
          <wp:inline distT="0" distB="0" distL="0" distR="0" wp14:anchorId="51DE92F8" wp14:editId="62B91845">
            <wp:extent cx="3781167" cy="2810371"/>
            <wp:effectExtent l="0" t="0" r="0" b="9525"/>
            <wp:docPr id="568847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47680" name=""/>
                    <pic:cNvPicPr/>
                  </pic:nvPicPr>
                  <pic:blipFill rotWithShape="1">
                    <a:blip r:embed="rId12"/>
                    <a:srcRect l="25399" t="34992" r="47149" b="32364"/>
                    <a:stretch/>
                  </pic:blipFill>
                  <pic:spPr bwMode="auto">
                    <a:xfrm>
                      <a:off x="0" y="0"/>
                      <a:ext cx="3822318" cy="2840956"/>
                    </a:xfrm>
                    <a:prstGeom prst="rect">
                      <a:avLst/>
                    </a:prstGeom>
                    <a:ln>
                      <a:noFill/>
                    </a:ln>
                    <a:extLst>
                      <a:ext uri="{53640926-AAD7-44D8-BBD7-CCE9431645EC}">
                        <a14:shadowObscured xmlns:a14="http://schemas.microsoft.com/office/drawing/2010/main"/>
                      </a:ext>
                    </a:extLst>
                  </pic:spPr>
                </pic:pic>
              </a:graphicData>
            </a:graphic>
          </wp:inline>
        </w:drawing>
      </w:r>
    </w:p>
    <w:p w14:paraId="7F4D1B5D" w14:textId="4BB426E5"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Las 10 entidades federativas de mayor captación de IED. Resalta el porcentaje de la Ciudad de México con el 44%. (Información Secretaría de Economía).</w:t>
      </w:r>
    </w:p>
    <w:p w14:paraId="4C1FAE0E" w14:textId="77777777" w:rsidR="0061395E" w:rsidRPr="0061395E" w:rsidRDefault="0061395E" w:rsidP="007231FF">
      <w:pPr>
        <w:spacing w:before="240" w:after="240"/>
        <w:jc w:val="center"/>
        <w:rPr>
          <w:rFonts w:ascii="Montserrat" w:eastAsia="Times New Roman" w:hAnsi="Montserrat" w:cs="Arial"/>
        </w:rPr>
      </w:pPr>
      <w:r w:rsidRPr="0061395E">
        <w:rPr>
          <w:rFonts w:ascii="Montserrat" w:eastAsia="Times New Roman" w:hAnsi="Montserrat" w:cs="Arial"/>
          <w:noProof/>
        </w:rPr>
        <w:lastRenderedPageBreak/>
        <w:drawing>
          <wp:inline distT="0" distB="0" distL="0" distR="0" wp14:anchorId="71E509A5" wp14:editId="4711AD4A">
            <wp:extent cx="3289465" cy="2407027"/>
            <wp:effectExtent l="0" t="0" r="6350" b="0"/>
            <wp:docPr id="37021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1117" name=""/>
                    <pic:cNvPicPr/>
                  </pic:nvPicPr>
                  <pic:blipFill rotWithShape="1">
                    <a:blip r:embed="rId13"/>
                    <a:srcRect l="34076" t="28651" r="36434" b="36823"/>
                    <a:stretch/>
                  </pic:blipFill>
                  <pic:spPr bwMode="auto">
                    <a:xfrm>
                      <a:off x="0" y="0"/>
                      <a:ext cx="3321622" cy="2430558"/>
                    </a:xfrm>
                    <a:prstGeom prst="rect">
                      <a:avLst/>
                    </a:prstGeom>
                    <a:ln>
                      <a:noFill/>
                    </a:ln>
                    <a:extLst>
                      <a:ext uri="{53640926-AAD7-44D8-BBD7-CCE9431645EC}">
                        <a14:shadowObscured xmlns:a14="http://schemas.microsoft.com/office/drawing/2010/main"/>
                      </a:ext>
                    </a:extLst>
                  </pic:spPr>
                </pic:pic>
              </a:graphicData>
            </a:graphic>
          </wp:inline>
        </w:drawing>
      </w:r>
    </w:p>
    <w:p w14:paraId="76651EE2" w14:textId="77777777" w:rsidR="0061395E" w:rsidRPr="00BE19EB" w:rsidRDefault="0061395E" w:rsidP="00C96B91">
      <w:pPr>
        <w:spacing w:before="240" w:after="240"/>
        <w:jc w:val="both"/>
        <w:rPr>
          <w:rFonts w:ascii="Montserrat" w:eastAsia="Times New Roman" w:hAnsi="Montserrat" w:cs="Arial"/>
          <w:b/>
          <w:bCs/>
        </w:rPr>
      </w:pPr>
      <w:r w:rsidRPr="00BE19EB">
        <w:rPr>
          <w:rFonts w:ascii="Montserrat" w:eastAsia="Times New Roman" w:hAnsi="Montserrat" w:cs="Arial"/>
          <w:b/>
          <w:bCs/>
        </w:rPr>
        <w:t>OAXACA.</w:t>
      </w:r>
    </w:p>
    <w:p w14:paraId="205EAF1A"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En el mes de mayo de 2024, como estrategia administrativa financiera, con previa autorización del Honorable Congreso del Estado de Oaxaca, la presente administración tomó la decisión de reestructurar la deuda pública del Estado que consistió en ampliar los plazos de vencimientos de sus obligaciones financieras. El objetivo principal que sustenta esta operación de reestructura, es la reducción del servicio de la deuda que beneficiaría al Estado, así mismo, debido que ha mejorado la calificación crediticia soberana del Estado, se realizó la revisión de la sobretasa que afectaba la tasa efectiva y como resultado esperado, dará a las finanzas contar con una fuente de liquidez para enfrentar las necesidades apremiantes. Además, es uno de los indicadores que evalúan las calificadoras.</w:t>
      </w:r>
    </w:p>
    <w:p w14:paraId="6B703A9B" w14:textId="023C3C36"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Gobierno Estatal del Estado de Oaxaca, cierra el </w:t>
      </w:r>
      <w:r w:rsidR="00C76838">
        <w:rPr>
          <w:rFonts w:ascii="Montserrat" w:eastAsia="Times New Roman" w:hAnsi="Montserrat" w:cs="Arial"/>
        </w:rPr>
        <w:t>Ejercicio</w:t>
      </w:r>
      <w:r w:rsidRPr="0061395E">
        <w:rPr>
          <w:rFonts w:ascii="Montserrat" w:eastAsia="Times New Roman" w:hAnsi="Montserrat" w:cs="Arial"/>
        </w:rPr>
        <w:t xml:space="preserve"> </w:t>
      </w:r>
      <w:r w:rsidR="00C76838">
        <w:rPr>
          <w:rFonts w:ascii="Montserrat" w:eastAsia="Times New Roman" w:hAnsi="Montserrat" w:cs="Arial"/>
        </w:rPr>
        <w:t>2</w:t>
      </w:r>
      <w:r w:rsidRPr="0061395E">
        <w:rPr>
          <w:rFonts w:ascii="Montserrat" w:eastAsia="Times New Roman" w:hAnsi="Montserrat" w:cs="Arial"/>
        </w:rPr>
        <w:t>024, con los planteamientos administrativos de finanzas determinados al inicio de su administración.</w:t>
      </w:r>
    </w:p>
    <w:p w14:paraId="4B85350F" w14:textId="7F3F41B9"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Cuyo objetivo fue, continuar con la iniciativa de no contratar deuda pública de largo y corto plazos.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w:t>
      </w:r>
    </w:p>
    <w:p w14:paraId="505157E4"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lastRenderedPageBreak/>
        <w:t>Dentro de los proyectos de esta administración, es mejorar la calidad crediticia que lleva consigo mantener una alta imagen financiera. Las instituciones financieras lo aprueban y así mismo, emiten en buenos términos esta pronunciación por los resultados obtenidos que se relacionan con la solvencia financiera que el Estado ha logrado con las medidas estratégicas de incrementar el ingreso propio, control del gasto y buena administración de la deuda pública. Al caso que corresponde al periodo de esta administración, no ha contratado ningún financiamiento de corto plazo, lo cual demuestra el manejo de una alta solvencia de liquidez.</w:t>
      </w:r>
    </w:p>
    <w:p w14:paraId="5BA59EB1"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Considerando adicionalmente, que se han incrementado el salario en más del 50% de 8 mil trabajadores de seguridad pública y que se han pagado más de 10 mil millones de pesos de pagos a terceros institucionales y pago de intereses y capital de los créditos con instituciones financieras.</w:t>
      </w:r>
    </w:p>
    <w:p w14:paraId="7BC5D679"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 tabla siguiente presenta la comparación de 2021 y 2024 donde se observa una alta percepción de la opinión crediticia de las agencias calificadoras para el Estado de Oaxaca para el año 2024.</w:t>
      </w:r>
    </w:p>
    <w:p w14:paraId="6FC1C88E" w14:textId="77777777" w:rsidR="0061395E" w:rsidRPr="0061395E" w:rsidRDefault="0061395E" w:rsidP="00BE19EB">
      <w:pPr>
        <w:spacing w:before="240" w:after="240"/>
        <w:jc w:val="center"/>
        <w:rPr>
          <w:rFonts w:ascii="Montserrat" w:eastAsia="Times New Roman" w:hAnsi="Montserrat" w:cs="Arial"/>
        </w:rPr>
      </w:pPr>
      <w:r w:rsidRPr="0061395E">
        <w:rPr>
          <w:rFonts w:ascii="Montserrat" w:eastAsia="Times New Roman" w:hAnsi="Montserrat" w:cs="Arial"/>
          <w:noProof/>
        </w:rPr>
        <w:drawing>
          <wp:inline distT="0" distB="0" distL="0" distR="0" wp14:anchorId="4DCD7553" wp14:editId="5E1AD0AF">
            <wp:extent cx="5612130" cy="1209040"/>
            <wp:effectExtent l="0" t="0" r="7620" b="0"/>
            <wp:docPr id="116416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209040"/>
                    </a:xfrm>
                    <a:prstGeom prst="rect">
                      <a:avLst/>
                    </a:prstGeom>
                    <a:noFill/>
                    <a:ln>
                      <a:noFill/>
                    </a:ln>
                  </pic:spPr>
                </pic:pic>
              </a:graphicData>
            </a:graphic>
          </wp:inline>
        </w:drawing>
      </w:r>
    </w:p>
    <w:p w14:paraId="7837DF4D"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Los años 2023 y 2024, es el periodo en que se consolida la estrategia de administración financiera que ha servido de base para la obtención de las mejores calificaciones dentro de los años en que el Estado ha sido observado por las calificadoras. (2005-2024).                </w:t>
      </w:r>
    </w:p>
    <w:p w14:paraId="127E8696"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Para el año 2024, no se había visto en años anteriores que se posicionara con las más altas calificaciones. HR </w:t>
      </w:r>
      <w:proofErr w:type="spellStart"/>
      <w:r w:rsidRPr="0061395E">
        <w:rPr>
          <w:rFonts w:ascii="Montserrat" w:eastAsia="Times New Roman" w:hAnsi="Montserrat" w:cs="Arial"/>
        </w:rPr>
        <w:t>Rantings</w:t>
      </w:r>
      <w:proofErr w:type="spellEnd"/>
      <w:r w:rsidRPr="0061395E">
        <w:rPr>
          <w:rFonts w:ascii="Montserrat" w:eastAsia="Times New Roman" w:hAnsi="Montserrat" w:cs="Arial"/>
        </w:rPr>
        <w:t xml:space="preserve"> y Fitch </w:t>
      </w:r>
      <w:proofErr w:type="spellStart"/>
      <w:r w:rsidRPr="0061395E">
        <w:rPr>
          <w:rFonts w:ascii="Montserrat" w:eastAsia="Times New Roman" w:hAnsi="Montserrat" w:cs="Arial"/>
        </w:rPr>
        <w:t>Rantings</w:t>
      </w:r>
      <w:proofErr w:type="spellEnd"/>
      <w:r w:rsidRPr="0061395E">
        <w:rPr>
          <w:rFonts w:ascii="Montserrat" w:eastAsia="Times New Roman" w:hAnsi="Montserrat" w:cs="Arial"/>
        </w:rPr>
        <w:t>, revisaron al alza la calificación en el nivel superior inmediato. Estándar &amp;Poor’s y Moody’s ratificaron su calificación del año anterior.</w:t>
      </w:r>
    </w:p>
    <w:p w14:paraId="1AFDD47A"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 Perspectiva para el mismo año 2024, las cuatro calificadoras con la opinión de una perspectiva aceptable e inclusive a manera de subrayado, una de ellas con el sentido de llevar la calificación al siguiente nivel superior. (Fitch).</w:t>
      </w:r>
    </w:p>
    <w:p w14:paraId="16CD17B3"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lastRenderedPageBreak/>
        <w:t xml:space="preserve">Las opiniones de las agencias calificadoras son de importancia de tomarse en cuenta por los diagnósticos aportados sobre las fortalezas y debilidades de los resultados y perspectivas de una administración gubernamental. Además, de las sugerencias mediante observaciones que éstas proponen. </w:t>
      </w:r>
    </w:p>
    <w:p w14:paraId="5512FD86"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De manera interpretativa lo que significan las calificaciones literales de las agencias calificadoras es la siguiente: el Estado de Oaxaca presenta una sólida capacidad de pago de intereses, así como del principal y es poco susceptible a cambios económicos, cuyo significado se traduce que ofrece seguridad para el pago de sus obligaciones financieras contratadas. En otras palabras, las calificaciones emitidas por estas instituciones, reflejan bajo riesgo y certeza de cumplimiento en todo momento.</w:t>
      </w:r>
    </w:p>
    <w:p w14:paraId="71418B44" w14:textId="77777777" w:rsidR="0061395E" w:rsidRPr="00BE19EB" w:rsidRDefault="0061395E" w:rsidP="00C96B91">
      <w:pPr>
        <w:spacing w:before="240" w:after="240"/>
        <w:jc w:val="both"/>
        <w:rPr>
          <w:rFonts w:ascii="Montserrat" w:eastAsia="Times New Roman" w:hAnsi="Montserrat" w:cs="Arial"/>
          <w:b/>
          <w:bCs/>
        </w:rPr>
      </w:pPr>
      <w:r w:rsidRPr="00BE19EB">
        <w:rPr>
          <w:rFonts w:ascii="Montserrat" w:eastAsia="Times New Roman" w:hAnsi="Montserrat" w:cs="Arial"/>
          <w:b/>
          <w:bCs/>
        </w:rPr>
        <w:t xml:space="preserve">PRODUCTO INTERNO BRUTO DEL ESTADO DE OAXACA. </w:t>
      </w:r>
    </w:p>
    <w:p w14:paraId="7A8896F3" w14:textId="1E8371CA"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El Instituto Nacional de Estadística Geográfica (INEGI), en su comunicado del Producto Interno Bruto por Entidad Federativa, publicado el 28 de octubre de 2024, reportó el monto del PIB en valores constantes con base a precios de 2018, del año 2023, para el Estado de Oaxaca de 447,312 m.d.p., que porcentualmente representa el 7.65%, por arriba del PIB nacional de 3.2% correspondiente para ese año.</w:t>
      </w:r>
    </w:p>
    <w:p w14:paraId="6513F42B" w14:textId="4C65875D"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En 2023, el PIB en valores constantes para Oaxaca alcanzó un valor de 447,312 millones de pesos. Esto implicó un crecimiento en términos reales de 7.65% con respecto del valor obtenido un año anterior de 415,531 </w:t>
      </w:r>
      <w:proofErr w:type="spellStart"/>
      <w:r w:rsidRPr="0061395E">
        <w:rPr>
          <w:rFonts w:ascii="Montserrat" w:eastAsia="Times New Roman" w:hAnsi="Montserrat" w:cs="Arial"/>
        </w:rPr>
        <w:t>mdp</w:t>
      </w:r>
      <w:proofErr w:type="spellEnd"/>
      <w:r w:rsidRPr="0061395E">
        <w:rPr>
          <w:rFonts w:ascii="Montserrat" w:eastAsia="Times New Roman" w:hAnsi="Montserrat" w:cs="Arial"/>
        </w:rPr>
        <w:t>. Las actividades primarias disminuyeron -1.75%, las secundarias se incrementaron 15.96% y las terciarias aumentaron 4.23 por ciento. El incremento de 7.65% en la actividad económica de Oaxaca se explica, principalmente, por el avance en Construcción del 45.2%.</w:t>
      </w:r>
    </w:p>
    <w:p w14:paraId="498AF441" w14:textId="14DEC069"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El Indicador Trimestral de la Actividad Económica Estatal (ITAEE) Segundo Trimestre de 2024, la economía oaxaqueña registra una variación porcentual real respecto al mismo trimestre del año anterior a precio 2018, de 5.9%. (El Estado en posición tercera de los 32 estados, después de Durango y Colima). Dato por arriba de la media de nacional de 2.1%. </w:t>
      </w:r>
    </w:p>
    <w:p w14:paraId="72C94B42"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El INEGI hace la siguiente notificación: “Las contribuciones se obtienen ponderando las tasas de crecimiento con la participación que cada estado tiene de la actividad económica nacional”.</w:t>
      </w:r>
    </w:p>
    <w:p w14:paraId="2F592787" w14:textId="40883085" w:rsidR="0061395E" w:rsidRPr="0061395E" w:rsidRDefault="0061395E" w:rsidP="00BE19EB">
      <w:pPr>
        <w:spacing w:before="240" w:after="240"/>
        <w:jc w:val="center"/>
        <w:rPr>
          <w:rFonts w:ascii="Montserrat" w:eastAsia="Times New Roman" w:hAnsi="Montserrat" w:cs="Arial"/>
        </w:rPr>
      </w:pPr>
      <w:r w:rsidRPr="0061395E">
        <w:rPr>
          <w:rFonts w:ascii="Montserrat" w:eastAsia="Times New Roman" w:hAnsi="Montserrat" w:cs="Arial"/>
          <w:noProof/>
        </w:rPr>
        <w:lastRenderedPageBreak/>
        <w:drawing>
          <wp:inline distT="0" distB="0" distL="0" distR="0" wp14:anchorId="45C4BA1E" wp14:editId="2724E3FF">
            <wp:extent cx="5692346" cy="5963704"/>
            <wp:effectExtent l="0" t="0" r="3810" b="0"/>
            <wp:docPr id="1907130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30426" name=""/>
                    <pic:cNvPicPr/>
                  </pic:nvPicPr>
                  <pic:blipFill rotWithShape="1">
                    <a:blip r:embed="rId15"/>
                    <a:srcRect l="35242" t="21606" r="21740" b="6288"/>
                    <a:stretch/>
                  </pic:blipFill>
                  <pic:spPr bwMode="auto">
                    <a:xfrm>
                      <a:off x="0" y="0"/>
                      <a:ext cx="5715089" cy="5987531"/>
                    </a:xfrm>
                    <a:prstGeom prst="rect">
                      <a:avLst/>
                    </a:prstGeom>
                    <a:ln>
                      <a:noFill/>
                    </a:ln>
                    <a:extLst>
                      <a:ext uri="{53640926-AAD7-44D8-BBD7-CCE9431645EC}">
                        <a14:shadowObscured xmlns:a14="http://schemas.microsoft.com/office/drawing/2010/main"/>
                      </a:ext>
                    </a:extLst>
                  </pic:spPr>
                </pic:pic>
              </a:graphicData>
            </a:graphic>
          </wp:inline>
        </w:drawing>
      </w:r>
    </w:p>
    <w:p w14:paraId="0A4E25F6" w14:textId="77777777" w:rsidR="0061395E" w:rsidRPr="00BE19EB" w:rsidRDefault="0061395E" w:rsidP="00BE19EB">
      <w:pPr>
        <w:keepNext/>
        <w:spacing w:before="240" w:after="240"/>
        <w:jc w:val="both"/>
        <w:rPr>
          <w:rFonts w:ascii="Montserrat" w:eastAsia="Times New Roman" w:hAnsi="Montserrat" w:cs="Arial"/>
          <w:b/>
          <w:bCs/>
        </w:rPr>
      </w:pPr>
      <w:r w:rsidRPr="00BE19EB">
        <w:rPr>
          <w:rFonts w:ascii="Montserrat" w:eastAsia="Times New Roman" w:hAnsi="Montserrat" w:cs="Arial"/>
          <w:b/>
          <w:bCs/>
        </w:rPr>
        <w:t>Trabajadores Asegurados en el Instituto Mexicano del Seguro Social (IMSS). Al mes de diciembre de 2024.</w:t>
      </w:r>
    </w:p>
    <w:p w14:paraId="7312FF84" w14:textId="4A0DCF31"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El IMSS, con datos de la </w:t>
      </w:r>
      <w:proofErr w:type="spellStart"/>
      <w:r w:rsidRPr="0061395E">
        <w:rPr>
          <w:rFonts w:ascii="Montserrat" w:eastAsia="Times New Roman" w:hAnsi="Montserrat" w:cs="Arial"/>
        </w:rPr>
        <w:t>STYPS</w:t>
      </w:r>
      <w:proofErr w:type="spellEnd"/>
      <w:r w:rsidRPr="0061395E">
        <w:rPr>
          <w:rFonts w:ascii="Montserrat" w:eastAsia="Times New Roman" w:hAnsi="Montserrat" w:cs="Arial"/>
        </w:rPr>
        <w:t xml:space="preserve">, tiene como registro de trabajadores asegurados en ese instituto para el Estado de Oaxaca en el mes de diciembre de 2024, en números absolutos de 236,905 trabajadores, con un incremento de 1.8% con respecto al 2023. Se identifican bajo la siguiente </w:t>
      </w:r>
      <w:r w:rsidRPr="0061395E">
        <w:rPr>
          <w:rFonts w:ascii="Montserrat" w:eastAsia="Times New Roman" w:hAnsi="Montserrat" w:cs="Arial"/>
        </w:rPr>
        <w:lastRenderedPageBreak/>
        <w:t>clasificación: Permanentes 197,503, Urbanos 36,657 y del Campo 2,745 trabajadores. Durante el mes de diciembre de 2024, 2,681 trabajadores asegurados al IMSS perdieron su registro con respecto al mes de noviembre del mismo año.</w:t>
      </w:r>
    </w:p>
    <w:p w14:paraId="3AE17126" w14:textId="77777777" w:rsidR="0061395E" w:rsidRPr="00BE19EB" w:rsidRDefault="0061395E" w:rsidP="00C96B91">
      <w:pPr>
        <w:spacing w:before="240" w:after="240"/>
        <w:jc w:val="both"/>
        <w:rPr>
          <w:rFonts w:ascii="Montserrat" w:eastAsia="Times New Roman" w:hAnsi="Montserrat" w:cs="Arial"/>
          <w:b/>
          <w:bCs/>
        </w:rPr>
      </w:pPr>
      <w:r w:rsidRPr="00BE19EB">
        <w:rPr>
          <w:rFonts w:ascii="Montserrat" w:eastAsia="Times New Roman" w:hAnsi="Montserrat" w:cs="Arial"/>
          <w:b/>
          <w:bCs/>
        </w:rPr>
        <w:t>Inversión Extranjera Directa (IED). Tercer Trimestre de 2024.</w:t>
      </w:r>
    </w:p>
    <w:p w14:paraId="75BEA4EE" w14:textId="0ED269D0"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En el periodo julio-septiembre de 2024, la IED en el Estado de Oaxaca alcanzó 13.4. mdd, distribuidos en reinversión de utilidades -3.90 mdd, (por deducción ya que este apartado se encuentra clasificado con la letra “C” de confidencial de no de carácter público) nuevas inversiones 7.4</w:t>
      </w:r>
      <w:r w:rsidR="00BE19EB">
        <w:rPr>
          <w:rFonts w:ascii="Montserrat" w:eastAsia="Times New Roman" w:hAnsi="Montserrat" w:cs="Arial"/>
        </w:rPr>
        <w:t xml:space="preserve"> </w:t>
      </w:r>
      <w:r w:rsidRPr="0061395E">
        <w:rPr>
          <w:rFonts w:ascii="Montserrat" w:eastAsia="Times New Roman" w:hAnsi="Montserrat" w:cs="Arial"/>
        </w:rPr>
        <w:t>mdd y cuentas entre compañías 9.9 mdd.</w:t>
      </w:r>
    </w:p>
    <w:p w14:paraId="2DCA2E68"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Desde 2006 a septiembre de 2024, Oaxaca acumula un total de 5,759.5 mdd en IED, distribuidos en nuevas inversiones $2,202.5 mdd, reinversión de utilidades 1,787.9 mdd y cuentas entre compañías 1,769.1 mdd.</w:t>
      </w:r>
    </w:p>
    <w:p w14:paraId="40630DA5"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Históricamente, el año 2013 fue el mejor año de captación en contexto de la IED, con un monto de 1,942.6 mdd, en los rubros de Nueva Inversión: 1454.2 mdd, Reinversión de Utilidades: 104.3 mdd y Cuentas Entre Compañías: 384.1 mdd. </w:t>
      </w:r>
    </w:p>
    <w:p w14:paraId="330F3FD2"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El interés por las empresas trasnacionales de invertir en México con el propósito de acercarse al mercado de los Estados Unidos llamado nearshoring, por lo que se observa para el Estado de Oaxaca, no está siendo beneficiado al referirnos con el reporte del Tercer Trimestre de 2024.</w:t>
      </w:r>
    </w:p>
    <w:p w14:paraId="6B101CB3" w14:textId="77777777" w:rsidR="0061395E" w:rsidRPr="00BE19EB" w:rsidRDefault="0061395E" w:rsidP="00C96B91">
      <w:pPr>
        <w:spacing w:before="240" w:after="240"/>
        <w:jc w:val="both"/>
        <w:rPr>
          <w:rFonts w:ascii="Montserrat" w:eastAsia="Times New Roman" w:hAnsi="Montserrat" w:cs="Arial"/>
          <w:b/>
          <w:bCs/>
        </w:rPr>
      </w:pPr>
      <w:r w:rsidRPr="00BE19EB">
        <w:rPr>
          <w:rFonts w:ascii="Montserrat" w:eastAsia="Times New Roman" w:hAnsi="Montserrat" w:cs="Arial"/>
          <w:b/>
          <w:bCs/>
        </w:rPr>
        <w:t>INFLACIÓN. Diciembre de 2024.</w:t>
      </w:r>
    </w:p>
    <w:p w14:paraId="6429EED2" w14:textId="50A93018"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La inflación nacional, sigue aun fuera del parámetro objetivo del Banco de México (Banxico) de 3.0% (+) (-) 1 punto porcentual. El mes de diciembre con el cierre del 2024, el INEGI reporta el índice inflacionario generalizado de 4.21%. </w:t>
      </w:r>
    </w:p>
    <w:p w14:paraId="37BBC86E" w14:textId="05A6F0CC"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El INPC, para la Ciudad de Oaxaca para el mismo periodo registró una inflación anualizada de 5.31%, el mayor dato entre todas la ciudades y superior marginalmente al índice general nacional, así mismo, respecto a la inflación registrada para la Cd. de Tehuantepec, Oax., 4.27% en el mismo mes referido.</w:t>
      </w:r>
    </w:p>
    <w:p w14:paraId="2DAFDB2C" w14:textId="77777777" w:rsidR="00DA66C5" w:rsidRDefault="00DA66C5" w:rsidP="00C96B91">
      <w:pPr>
        <w:spacing w:before="240" w:after="240"/>
        <w:jc w:val="both"/>
        <w:rPr>
          <w:rFonts w:ascii="Montserrat" w:eastAsia="Times New Roman" w:hAnsi="Montserrat" w:cs="Arial"/>
          <w:b/>
          <w:bCs/>
        </w:rPr>
      </w:pPr>
    </w:p>
    <w:p w14:paraId="3A04EB25" w14:textId="636ED35F" w:rsidR="0061395E" w:rsidRPr="00BE19EB" w:rsidRDefault="0061395E" w:rsidP="00C96B91">
      <w:pPr>
        <w:spacing w:before="240" w:after="240"/>
        <w:jc w:val="both"/>
        <w:rPr>
          <w:rFonts w:ascii="Montserrat" w:eastAsia="Times New Roman" w:hAnsi="Montserrat" w:cs="Arial"/>
          <w:b/>
          <w:bCs/>
        </w:rPr>
      </w:pPr>
      <w:r w:rsidRPr="00BE19EB">
        <w:rPr>
          <w:rFonts w:ascii="Montserrat" w:eastAsia="Times New Roman" w:hAnsi="Montserrat" w:cs="Arial"/>
          <w:b/>
          <w:bCs/>
        </w:rPr>
        <w:lastRenderedPageBreak/>
        <w:t>PANORAMA DE OPORTUNIDAD PARA EL ESTADO DE OAXACA.</w:t>
      </w:r>
    </w:p>
    <w:p w14:paraId="69BDB358"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El desarrollo económico de la región Sur-Sureste, debe seguir siendo una prioridad del nuevo gobierno de México que recientemente tomó posición. (01 de octubre de 2024).  El anterior le dio un gran impulso que debe tener una continuidad para aprovechar de esa región desde el punto de vista geoeconómica. </w:t>
      </w:r>
    </w:p>
    <w:p w14:paraId="2D962D0F"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El desarrollo de la parte ístmica de Oaxaca, garantiza el crecimiento económico del Estado, así mismo, el beneficio sería no solamente de esa parte del país sino a nivel nacional.</w:t>
      </w:r>
    </w:p>
    <w:p w14:paraId="754B561D"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Este crecimiento económico lleva consigo un gran avance en el aspecto tecnológico de la producción y generación de muchos empleos.</w:t>
      </w:r>
    </w:p>
    <w:p w14:paraId="6633832E"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“En el sexto Informe de gobierno del presidente Andrés Manuel López Obrador se describió que resultado de estos proyectos, la actividad económica en los estados del sur-sureste experimentó incrementos anuales de doble dígito, registrando tasas de crecimiento históricas, por lo que jaló a la economía nacional.   </w:t>
      </w:r>
    </w:p>
    <w:p w14:paraId="613C643C"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La administración de Andrés Manuel López Obrador detonó el crecimiento económico de México durante el 2023 a través del desarrollo en distintas regiones del país, pues, se centró en continuar y finalizar sus proyectos de infraestructura clave, como el Tren Maya, el Ferrocarril del Istmo de Tehuantepec, la planta </w:t>
      </w:r>
      <w:proofErr w:type="spellStart"/>
      <w:r w:rsidRPr="0061395E">
        <w:rPr>
          <w:rFonts w:ascii="Montserrat" w:eastAsia="Times New Roman" w:hAnsi="Montserrat" w:cs="Arial"/>
        </w:rPr>
        <w:t>coquizadora</w:t>
      </w:r>
      <w:proofErr w:type="spellEnd"/>
      <w:r w:rsidRPr="0061395E">
        <w:rPr>
          <w:rFonts w:ascii="Montserrat" w:eastAsia="Times New Roman" w:hAnsi="Montserrat" w:cs="Arial"/>
        </w:rPr>
        <w:t xml:space="preserve"> de la refinería de Salina Cruz, la carretera Oaxaca-Puerto Escondido y la Refinería Olmeca.</w:t>
      </w:r>
    </w:p>
    <w:p w14:paraId="64DE3A8B"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En el sexto Informe de gobierno del presidente Andrés Manuel López Obrador se describió que resultado de estos proyectos, la actividad económica en los estados del sur-sureste experimentó incrementos anuales de doble dígito, registrando tasas de crecimiento históricas, por lo que jaló a la economía nacional”. (La Jornada 02 de septiembre 2024).</w:t>
      </w:r>
    </w:p>
    <w:p w14:paraId="3C78E427" w14:textId="77777777" w:rsidR="0061395E" w:rsidRPr="00C16F98" w:rsidRDefault="0061395E" w:rsidP="00C16F98">
      <w:pPr>
        <w:keepNext/>
        <w:spacing w:before="240" w:after="240"/>
        <w:jc w:val="both"/>
        <w:rPr>
          <w:rFonts w:ascii="Montserrat" w:eastAsia="Times New Roman" w:hAnsi="Montserrat" w:cs="Arial"/>
          <w:b/>
          <w:bCs/>
        </w:rPr>
      </w:pPr>
      <w:r w:rsidRPr="00C16F98">
        <w:rPr>
          <w:rFonts w:ascii="Montserrat" w:eastAsia="Times New Roman" w:hAnsi="Montserrat" w:cs="Arial"/>
          <w:b/>
          <w:bCs/>
        </w:rPr>
        <w:t>Región sur lidera el crecimiento económico del país: Banxico</w:t>
      </w:r>
    </w:p>
    <w:p w14:paraId="04D5771A"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“Las obras federales detonaron distintos sectores de la zona más rezagada del territorio nacional. La industria de la construcción creció 72.5% a tasa anual en el sur de México”. (El Economista. 14 de septiembre de 2023).</w:t>
      </w:r>
    </w:p>
    <w:p w14:paraId="0C46C623"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 xml:space="preserve">La novedad presente hace realidad la esperanza después de 20 años de espera, la inauguración la Autopista Mitla - Tehuantepec. </w:t>
      </w:r>
    </w:p>
    <w:p w14:paraId="122BEE35"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lastRenderedPageBreak/>
        <w:t>La fecha inaugural al fin es anunciada para el día 25 de enero de 2025. Con esta fecha dejará de ser el proyecto esperado y concluido con grandes beneficios para la región istmeña, así mismo para el Estado.</w:t>
      </w:r>
    </w:p>
    <w:p w14:paraId="3A5E114A"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“Una vez en operación, la autopista reducirá el tiempo de trayecto entre la Ciudad de Oaxaca y el Istmo de Tehuantepec de 4 horas y media a sólo 2 horas y media, mejorando significativamente la movilidad en la región.</w:t>
      </w:r>
    </w:p>
    <w:p w14:paraId="45CA19E7"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La autopista Mitla-Tehuantepec promete convertirse en un eje estratégico para el desarrollo de Oaxaca. Entre los beneficios que se esperan destacan:</w:t>
      </w:r>
    </w:p>
    <w:p w14:paraId="75507A79"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Mayor conectividad: Facilitará el desplazamiento entre regiones clave, fortaleciendo los lazos entre comunidades.</w:t>
      </w:r>
    </w:p>
    <w:p w14:paraId="2B775FB5"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Dinamización económica: Impulsará el turismo y el comercio, atrayendo inversiones y generando empleos.</w:t>
      </w:r>
    </w:p>
    <w:p w14:paraId="1D9F5E06"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Reducción de costos: Optimizará el transporte de mercancías y pasajeros, ahorrando tiempo y recursos.</w:t>
      </w:r>
    </w:p>
    <w:p w14:paraId="05E6D9A9"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Seguridad y comodidad: La moderna infraestructura garantizará un viaje más seguro y eficiente para todos los usuarios.</w:t>
      </w:r>
    </w:p>
    <w:p w14:paraId="0438D4D5" w14:textId="77777777" w:rsidR="0061395E" w:rsidRPr="0061395E" w:rsidRDefault="0061395E" w:rsidP="00C96B91">
      <w:pPr>
        <w:spacing w:before="240" w:after="240"/>
        <w:jc w:val="both"/>
        <w:rPr>
          <w:rFonts w:ascii="Montserrat" w:eastAsia="Times New Roman" w:hAnsi="Montserrat" w:cs="Arial"/>
        </w:rPr>
      </w:pPr>
      <w:r w:rsidRPr="0061395E">
        <w:rPr>
          <w:rFonts w:ascii="Montserrat" w:eastAsia="Times New Roman" w:hAnsi="Montserrat" w:cs="Arial"/>
        </w:rPr>
        <w:t>Con esta obra, el Gobierno de México reafirma su compromiso de transformar la infraestructura vial en Oaxaca, una entidad que por décadas ha enfrentado retos en materia de conectividad. La autopista Mitla-Tehuantepec marca un antes y un después en la historia del estado, consolidándolo como un punto clave para el desarrollo del sureste mexicano.” (AHORA OAXACA NOTICIAS. 25 de diciembre de 2024).</w:t>
      </w:r>
    </w:p>
    <w:bookmarkEnd w:id="3"/>
    <w:p w14:paraId="0F2C9497" w14:textId="77777777" w:rsidR="00E26F00" w:rsidRPr="00C32566" w:rsidRDefault="00E26F00" w:rsidP="00C32566">
      <w:pPr>
        <w:tabs>
          <w:tab w:val="left" w:pos="7260"/>
        </w:tabs>
        <w:spacing w:before="240" w:after="240"/>
        <w:jc w:val="both"/>
        <w:rPr>
          <w:rFonts w:ascii="Montserrat" w:eastAsia="Times New Roman" w:hAnsi="Montserrat" w:cs="Arial"/>
        </w:rPr>
      </w:pPr>
    </w:p>
    <w:p w14:paraId="351346CE" w14:textId="1659D30A" w:rsidR="00B0059B" w:rsidRPr="00F129E5" w:rsidRDefault="00B0059B" w:rsidP="00F129E5">
      <w:pPr>
        <w:pStyle w:val="Prrafodelista"/>
        <w:widowControl w:val="0"/>
        <w:numPr>
          <w:ilvl w:val="0"/>
          <w:numId w:val="6"/>
        </w:numPr>
        <w:ind w:left="426" w:hanging="426"/>
        <w:jc w:val="both"/>
        <w:rPr>
          <w:rFonts w:ascii="Montserrat" w:hAnsi="Montserrat"/>
          <w:b/>
          <w:sz w:val="24"/>
          <w:szCs w:val="24"/>
        </w:rPr>
      </w:pPr>
      <w:r w:rsidRPr="00F129E5">
        <w:rPr>
          <w:rFonts w:ascii="Montserrat" w:hAnsi="Montserrat"/>
          <w:b/>
          <w:sz w:val="24"/>
          <w:szCs w:val="24"/>
        </w:rPr>
        <w:t>Organización y Objeto Social.</w:t>
      </w:r>
    </w:p>
    <w:p w14:paraId="30BECA59" w14:textId="77777777" w:rsidR="00B0059B" w:rsidRPr="00FD2DE6" w:rsidRDefault="00B0059B" w:rsidP="00B0059B">
      <w:pPr>
        <w:pStyle w:val="Prrafodelista"/>
        <w:widowControl w:val="0"/>
        <w:ind w:left="426"/>
        <w:jc w:val="both"/>
        <w:rPr>
          <w:rFonts w:ascii="Montserrat" w:hAnsi="Montserrat"/>
          <w:b/>
          <w:sz w:val="24"/>
          <w:szCs w:val="24"/>
        </w:rPr>
      </w:pPr>
    </w:p>
    <w:p w14:paraId="226577E0"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Objeto social.</w:t>
      </w:r>
    </w:p>
    <w:p w14:paraId="29B4810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Con fundamento en el Artículo 1 de la Constitución Política del Estado Libre y Soberano de Oaxaca, el cual indica en su que el Estado de Oaxaca es multiétnico, pluricultural y multilingüe, parte integrante de los Estados Unidos Mexicanos, libre y soberano en todo lo que concierne a su régimen interior, e indica que las autoridades del Estado, en el ámbito de sus competencias, tienen la obligación de promover, respetar, proteger y </w:t>
      </w:r>
      <w:r w:rsidRPr="00FD2DE6">
        <w:rPr>
          <w:rFonts w:ascii="Montserrat" w:eastAsia="Times New Roman" w:hAnsi="Montserrat" w:cs="Arial"/>
        </w:rPr>
        <w:lastRenderedPageBreak/>
        <w:t xml:space="preserve">garantizar los derechos humanos, de conformidad con los principios de universalidad, interdependencia, pluriculturalidad y progresividad. </w:t>
      </w:r>
    </w:p>
    <w:p w14:paraId="0CC79DCD" w14:textId="77777777" w:rsidR="00B0059B" w:rsidRPr="00FD2DE6" w:rsidRDefault="00B0059B" w:rsidP="00B0059B">
      <w:pPr>
        <w:tabs>
          <w:tab w:val="left" w:pos="7260"/>
        </w:tabs>
        <w:jc w:val="both"/>
        <w:rPr>
          <w:rFonts w:ascii="Montserrat" w:eastAsia="Times New Roman" w:hAnsi="Montserrat" w:cs="Arial"/>
        </w:rPr>
      </w:pPr>
    </w:p>
    <w:p w14:paraId="60FD7F49"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Por lo anterior, el Poder Ejecutivo del Estado conducirá sus actividades en forma programada, con base en las políticas de planeación que establezca el Titular del Ejecutivo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78090E19" w14:textId="77777777" w:rsidR="00B0059B" w:rsidRPr="00FD2DE6" w:rsidRDefault="00B0059B" w:rsidP="00B0059B">
      <w:pPr>
        <w:tabs>
          <w:tab w:val="left" w:pos="7260"/>
        </w:tabs>
        <w:jc w:val="both"/>
        <w:rPr>
          <w:rFonts w:ascii="Montserrat" w:eastAsia="Times New Roman" w:hAnsi="Montserrat" w:cs="Arial"/>
        </w:rPr>
      </w:pPr>
    </w:p>
    <w:p w14:paraId="0E6EDB95"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Principal actividad</w:t>
      </w:r>
    </w:p>
    <w:p w14:paraId="4DEA9867"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del Gobierno del Estado de Oaxaca, tiene por objetivo la prestación de los servicios públicos y la producción de bienes para satisfacer las necesidades colectivas de la población del Estado de Oaxaca.</w:t>
      </w:r>
    </w:p>
    <w:p w14:paraId="3BE586E1" w14:textId="77777777" w:rsidR="00B0059B" w:rsidRPr="00FD2DE6" w:rsidRDefault="00B0059B" w:rsidP="00B0059B">
      <w:pPr>
        <w:tabs>
          <w:tab w:val="left" w:pos="7260"/>
        </w:tabs>
        <w:jc w:val="both"/>
        <w:rPr>
          <w:rFonts w:ascii="Montserrat" w:eastAsia="Times New Roman" w:hAnsi="Montserrat" w:cs="Arial"/>
        </w:rPr>
      </w:pPr>
    </w:p>
    <w:p w14:paraId="6F7428F2"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Ejercicio fiscal</w:t>
      </w:r>
    </w:p>
    <w:p w14:paraId="5653C97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Con base en el postulado básico de Contabilidad Gubernamental Periodo Contable que indica que la vida del ente público se divide en periodos uniformes de un año calendario, para efectos del registro de sus operaciones y de rendición de cuentas.</w:t>
      </w:r>
    </w:p>
    <w:p w14:paraId="6765D118" w14:textId="77777777" w:rsidR="00B0059B" w:rsidRPr="00FD2DE6" w:rsidRDefault="00B0059B" w:rsidP="00B0059B">
      <w:pPr>
        <w:tabs>
          <w:tab w:val="left" w:pos="7260"/>
        </w:tabs>
        <w:jc w:val="both"/>
        <w:rPr>
          <w:rFonts w:ascii="Montserrat" w:eastAsia="Times New Roman" w:hAnsi="Montserrat" w:cs="Arial"/>
        </w:rPr>
      </w:pPr>
    </w:p>
    <w:p w14:paraId="48137C41" w14:textId="14BF07AD"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Por tanto, la información financiera presentada en este documento </w:t>
      </w:r>
      <w:r w:rsidR="00772A80" w:rsidRPr="00FD2DE6">
        <w:rPr>
          <w:rFonts w:ascii="Montserrat" w:eastAsia="Times New Roman" w:hAnsi="Montserrat" w:cs="Arial"/>
        </w:rPr>
        <w:t>s</w:t>
      </w:r>
      <w:r w:rsidRPr="00FD2DE6">
        <w:rPr>
          <w:rFonts w:ascii="Montserrat" w:eastAsia="Times New Roman" w:hAnsi="Montserrat" w:cs="Arial"/>
        </w:rPr>
        <w:t>e refiere al periodo relativo a un año calendario, que comprende del 1 de enero</w:t>
      </w:r>
      <w:r w:rsidR="00772A80" w:rsidRPr="00FD2DE6">
        <w:rPr>
          <w:rFonts w:ascii="Montserrat" w:eastAsia="Times New Roman" w:hAnsi="Montserrat" w:cs="Arial"/>
        </w:rPr>
        <w:t xml:space="preserve"> al 3</w:t>
      </w:r>
      <w:r w:rsidR="00C16F98">
        <w:rPr>
          <w:rFonts w:ascii="Montserrat" w:eastAsia="Times New Roman" w:hAnsi="Montserrat" w:cs="Arial"/>
        </w:rPr>
        <w:t>1 de diciembre</w:t>
      </w:r>
      <w:r w:rsidRPr="00FD2DE6">
        <w:rPr>
          <w:rFonts w:ascii="Montserrat" w:eastAsia="Times New Roman" w:hAnsi="Montserrat" w:cs="Arial"/>
        </w:rPr>
        <w:t>, y está directamente relacionado el ejercicio del presupuesto de ingresos estimado y el presupuesto de egresos autorizado para el ejercicio 202</w:t>
      </w:r>
      <w:r w:rsidR="00772A80" w:rsidRPr="00FD2DE6">
        <w:rPr>
          <w:rFonts w:ascii="Montserrat" w:eastAsia="Times New Roman" w:hAnsi="Montserrat" w:cs="Arial"/>
        </w:rPr>
        <w:t>4</w:t>
      </w:r>
      <w:r w:rsidRPr="00FD2DE6">
        <w:rPr>
          <w:rFonts w:ascii="Montserrat" w:eastAsia="Times New Roman" w:hAnsi="Montserrat" w:cs="Arial"/>
        </w:rPr>
        <w:t>.</w:t>
      </w:r>
    </w:p>
    <w:p w14:paraId="2E92B117" w14:textId="77777777" w:rsidR="00B0059B" w:rsidRPr="00FD2DE6" w:rsidRDefault="00B0059B" w:rsidP="00B0059B">
      <w:pPr>
        <w:tabs>
          <w:tab w:val="left" w:pos="7260"/>
        </w:tabs>
        <w:jc w:val="both"/>
        <w:rPr>
          <w:rFonts w:ascii="Montserrat" w:eastAsia="Times New Roman" w:hAnsi="Montserrat" w:cs="Arial"/>
        </w:rPr>
      </w:pPr>
    </w:p>
    <w:p w14:paraId="4CA09346" w14:textId="77777777" w:rsidR="00B0059B" w:rsidRPr="00FD2DE6" w:rsidRDefault="00B0059B" w:rsidP="00031666">
      <w:pPr>
        <w:pStyle w:val="Prrafodelista"/>
        <w:keepNext/>
        <w:widowControl w:val="0"/>
        <w:numPr>
          <w:ilvl w:val="0"/>
          <w:numId w:val="12"/>
        </w:numPr>
        <w:ind w:left="714" w:hanging="357"/>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Régimen Jurídico</w:t>
      </w:r>
    </w:p>
    <w:p w14:paraId="473ECF0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está regulado por la siguiente legislación:</w:t>
      </w:r>
    </w:p>
    <w:p w14:paraId="4F9A11C5" w14:textId="77777777" w:rsidR="00B0059B" w:rsidRPr="00FD2DE6" w:rsidRDefault="00B0059B" w:rsidP="00B0059B">
      <w:pPr>
        <w:tabs>
          <w:tab w:val="left" w:pos="7260"/>
        </w:tabs>
        <w:jc w:val="both"/>
        <w:rPr>
          <w:rFonts w:ascii="Montserrat" w:eastAsia="Times New Roman" w:hAnsi="Montserrat" w:cs="Arial"/>
        </w:rPr>
      </w:pPr>
    </w:p>
    <w:p w14:paraId="64A8898E"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La Constitución Política de los Estados Unidos Mexicanos.</w:t>
      </w:r>
    </w:p>
    <w:p w14:paraId="30B2085E"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Constitución Política del Estado Libre y Soberano de Oaxaca.</w:t>
      </w:r>
    </w:p>
    <w:p w14:paraId="38F7DAB0"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Orgánica del Poder Ejecutivo del Estado de Oaxaca</w:t>
      </w:r>
    </w:p>
    <w:p w14:paraId="178D51EE"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Estatal de Presupuesto y Responsabilidad Hacendaria</w:t>
      </w:r>
    </w:p>
    <w:p w14:paraId="238CCF96"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General de Contabilidad Gubernamental.</w:t>
      </w:r>
    </w:p>
    <w:p w14:paraId="6C0462D7"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Responsabilidades Administrativas del Estado y Municipios de Oaxaca.</w:t>
      </w:r>
    </w:p>
    <w:p w14:paraId="7F50B887"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Estatal de Hacienda</w:t>
      </w:r>
    </w:p>
    <w:p w14:paraId="56C41EEF"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lastRenderedPageBreak/>
        <w:t>Ley de Coordinación Fiscal para el Estado de Oaxaca</w:t>
      </w:r>
    </w:p>
    <w:p w14:paraId="3CE39576"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Deuda Pública para el Estado de Oaxaca</w:t>
      </w:r>
    </w:p>
    <w:p w14:paraId="01E99328"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Transparencia y Acceso a la Información Pública para el Estado de Oaxaca</w:t>
      </w:r>
    </w:p>
    <w:p w14:paraId="78BF1D5A" w14:textId="5FA16BA1"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Ingresos del Estado de Oaxaca para el periodo 202</w:t>
      </w:r>
      <w:r w:rsidR="00772A80" w:rsidRPr="00FD2DE6">
        <w:rPr>
          <w:rFonts w:ascii="Montserrat" w:eastAsia="Times New Roman" w:hAnsi="Montserrat" w:cs="Arial"/>
          <w:sz w:val="24"/>
          <w:szCs w:val="24"/>
        </w:rPr>
        <w:t>4</w:t>
      </w:r>
    </w:p>
    <w:p w14:paraId="56D5EBE6" w14:textId="0C20D48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Presupuestos de Egresos del Estado de Oaxaca para el periodo 202</w:t>
      </w:r>
      <w:r w:rsidR="00772A80" w:rsidRPr="00FD2DE6">
        <w:rPr>
          <w:rFonts w:ascii="Montserrat" w:eastAsia="Times New Roman" w:hAnsi="Montserrat" w:cs="Arial"/>
          <w:sz w:val="24"/>
          <w:szCs w:val="24"/>
        </w:rPr>
        <w:t>4</w:t>
      </w:r>
      <w:r w:rsidRPr="00FD2DE6">
        <w:rPr>
          <w:rFonts w:ascii="Montserrat" w:eastAsia="Times New Roman" w:hAnsi="Montserrat" w:cs="Arial"/>
          <w:sz w:val="24"/>
          <w:szCs w:val="24"/>
        </w:rPr>
        <w:t xml:space="preserve"> </w:t>
      </w:r>
    </w:p>
    <w:p w14:paraId="67C7BE2E"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Entre otras.</w:t>
      </w:r>
    </w:p>
    <w:p w14:paraId="74D7CC90" w14:textId="77777777" w:rsidR="00B0059B" w:rsidRPr="00FD2DE6" w:rsidRDefault="00B0059B" w:rsidP="00B0059B">
      <w:pPr>
        <w:pStyle w:val="Prrafodelista"/>
        <w:tabs>
          <w:tab w:val="left" w:pos="7260"/>
        </w:tabs>
        <w:jc w:val="both"/>
        <w:rPr>
          <w:rFonts w:ascii="Montserrat" w:eastAsia="Times New Roman" w:hAnsi="Montserrat" w:cs="Arial"/>
          <w:sz w:val="24"/>
          <w:szCs w:val="24"/>
        </w:rPr>
      </w:pPr>
    </w:p>
    <w:p w14:paraId="15CFB90F"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Consideraciones fiscales</w:t>
      </w:r>
    </w:p>
    <w:p w14:paraId="5CFB3AF5"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es un organismo de la Administración Pública. Las obligaciones fiscales de la administración Pública centralizada del estado son las siguientes:</w:t>
      </w:r>
    </w:p>
    <w:p w14:paraId="2D119FEC" w14:textId="77777777" w:rsidR="00B0059B" w:rsidRPr="00FD2DE6" w:rsidRDefault="00B0059B" w:rsidP="00B0059B">
      <w:pPr>
        <w:tabs>
          <w:tab w:val="left" w:pos="7260"/>
        </w:tabs>
        <w:jc w:val="both"/>
        <w:rPr>
          <w:rFonts w:ascii="Montserrat" w:eastAsia="Times New Roman" w:hAnsi="Montserrat" w:cs="Arial"/>
        </w:rPr>
      </w:pPr>
    </w:p>
    <w:p w14:paraId="2854BEBC"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Declaración mensual de las personas físicas con actividades empresariales y profesionales.</w:t>
      </w:r>
    </w:p>
    <w:p w14:paraId="5625F1E9"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Declaración anual de Impuesto Sobre la Renta (ISR) donde informe de las retenciones efectuadas por pagos de Rentas de Bienes Inmuebles.</w:t>
      </w:r>
    </w:p>
    <w:p w14:paraId="08BE59A8"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Declaración anual donde se informe sobre las retenciones de los trabajadores que recibieron Sueldos y Salarios y Trabajadores asimilables a salarios.</w:t>
      </w:r>
    </w:p>
    <w:p w14:paraId="098225A0"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Presentar la Declaración Informativa Semestral por la Recaudación del Impuesto Especial de Producción y Servicios (IEPS) por la Venta Final de Gasolinas y Diesel,</w:t>
      </w:r>
    </w:p>
    <w:p w14:paraId="60EA2950"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Presentar la Declaración Informativa Anual de Subsidios para el Empleo.</w:t>
      </w:r>
    </w:p>
    <w:p w14:paraId="123FD920"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Presentar la Declaración Informativa Mensual de Operaciones con Terceros. </w:t>
      </w:r>
    </w:p>
    <w:p w14:paraId="36796C27"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Presentar la información del aviso para la aplicación de estímulos a entidades federativas, municipios y otros organismos públicos.</w:t>
      </w:r>
    </w:p>
    <w:p w14:paraId="6B36F19A" w14:textId="77777777" w:rsidR="00B0059B" w:rsidRPr="00FD2DE6" w:rsidRDefault="00B0059B" w:rsidP="00B0059B">
      <w:pPr>
        <w:pStyle w:val="Prrafodelista"/>
        <w:widowControl w:val="0"/>
        <w:jc w:val="both"/>
        <w:rPr>
          <w:rFonts w:ascii="Montserrat" w:eastAsia="Times New Roman" w:hAnsi="Montserrat" w:cs="Arial"/>
          <w:sz w:val="24"/>
          <w:szCs w:val="24"/>
          <w:lang w:val="es-ES" w:eastAsia="es-MX"/>
        </w:rPr>
      </w:pPr>
    </w:p>
    <w:p w14:paraId="35DF8E31"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Estructura Organizacional Básica.</w:t>
      </w:r>
    </w:p>
    <w:p w14:paraId="5C5EC15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w:t>
      </w:r>
      <w:r w:rsidRPr="00FD2DE6">
        <w:rPr>
          <w:rFonts w:ascii="Montserrat" w:eastAsia="Times New Roman" w:hAnsi="Montserrat" w:cs="Arial"/>
        </w:rPr>
        <w:lastRenderedPageBreak/>
        <w:t>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3A2C3B1D" w14:textId="77777777" w:rsidR="00B0059B" w:rsidRPr="00FD2DE6" w:rsidRDefault="00B0059B" w:rsidP="00B0059B">
      <w:pPr>
        <w:tabs>
          <w:tab w:val="left" w:pos="7260"/>
        </w:tabs>
        <w:jc w:val="both"/>
        <w:rPr>
          <w:rFonts w:ascii="Montserrat" w:eastAsia="Times New Roman" w:hAnsi="Montserrat" w:cs="Arial"/>
        </w:rPr>
      </w:pPr>
    </w:p>
    <w:p w14:paraId="4DE4A1D3"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5720F0C5" w14:textId="77777777" w:rsidR="00B0059B" w:rsidRPr="00FD2DE6" w:rsidRDefault="00B0059B" w:rsidP="00B0059B">
      <w:pPr>
        <w:tabs>
          <w:tab w:val="left" w:pos="7260"/>
        </w:tabs>
        <w:jc w:val="both"/>
        <w:rPr>
          <w:rFonts w:ascii="Montserrat" w:eastAsia="Times New Roman" w:hAnsi="Montserrat" w:cs="Arial"/>
        </w:rPr>
      </w:pPr>
    </w:p>
    <w:p w14:paraId="25C19C9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Administración Pública Centralizada</w:t>
      </w:r>
    </w:p>
    <w:p w14:paraId="0FA143B2" w14:textId="77777777" w:rsidR="00B0059B" w:rsidRPr="00FD2DE6" w:rsidRDefault="00B0059B" w:rsidP="00B0059B">
      <w:pPr>
        <w:tabs>
          <w:tab w:val="left" w:pos="7260"/>
        </w:tabs>
        <w:jc w:val="both"/>
        <w:rPr>
          <w:rFonts w:ascii="Montserrat" w:eastAsia="Times New Roman" w:hAnsi="Montserrat" w:cs="Arial"/>
        </w:rPr>
      </w:pPr>
    </w:p>
    <w:p w14:paraId="38AEBA4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En los términos de los artículos 3, 26, 27 y 33 de la Ley Orgánica del Poder Ejecutivo del Estado de Oaxaca el titular del Poder Ejecutivo cuenta con las siguientes dependencias y organismos auxiliares:</w:t>
      </w:r>
    </w:p>
    <w:p w14:paraId="222D6C52" w14:textId="77777777" w:rsidR="00B0059B" w:rsidRPr="00FD2DE6" w:rsidRDefault="00B0059B" w:rsidP="00B0059B">
      <w:pPr>
        <w:tabs>
          <w:tab w:val="left" w:pos="7260"/>
        </w:tabs>
        <w:jc w:val="both"/>
        <w:rPr>
          <w:rFonts w:ascii="Montserrat" w:eastAsia="Times New Roman" w:hAnsi="Montserrat" w:cs="Arial"/>
        </w:rPr>
      </w:pPr>
    </w:p>
    <w:p w14:paraId="43A14B8C"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Gubernatura</w:t>
      </w:r>
    </w:p>
    <w:p w14:paraId="1DDC17D2"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Secretaría de Gobierno</w:t>
      </w:r>
    </w:p>
    <w:p w14:paraId="1F8AA497"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 xml:space="preserve">Secretaría de Seguridad Pública y Protección Ciudadana </w:t>
      </w:r>
    </w:p>
    <w:p w14:paraId="24D8EB68"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 xml:space="preserve">Secretaría de Infraestructuras y Comunicaciones </w:t>
      </w:r>
    </w:p>
    <w:p w14:paraId="30CBB140"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Secretaría del Trabajo</w:t>
      </w:r>
    </w:p>
    <w:p w14:paraId="115BAE22"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Secretaría de Movilidad</w:t>
      </w:r>
    </w:p>
    <w:p w14:paraId="05340594"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 xml:space="preserve">Secretaría de las Culturas y Artes </w:t>
      </w:r>
    </w:p>
    <w:p w14:paraId="37C6AD39"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 xml:space="preserve">Secretaría de Bienestar, Tequio e Inclusión </w:t>
      </w:r>
    </w:p>
    <w:p w14:paraId="5BF02EDC" w14:textId="77777777" w:rsidR="00B0059B" w:rsidRPr="00031666" w:rsidRDefault="00B0059B" w:rsidP="00031666">
      <w:pPr>
        <w:pStyle w:val="Prrafodelista"/>
        <w:numPr>
          <w:ilvl w:val="0"/>
          <w:numId w:val="37"/>
        </w:numPr>
        <w:tabs>
          <w:tab w:val="left" w:pos="7260"/>
        </w:tabs>
        <w:rPr>
          <w:rFonts w:ascii="Montserrat" w:eastAsia="Times New Roman" w:hAnsi="Montserrat" w:cs="Arial"/>
        </w:rPr>
      </w:pPr>
      <w:r w:rsidRPr="00031666">
        <w:rPr>
          <w:rFonts w:ascii="Montserrat" w:eastAsia="Times New Roman" w:hAnsi="Montserrat" w:cs="Arial"/>
        </w:rPr>
        <w:t>Secretaría de Interculturalidad, Pueblos y Comunidades Indígenas y Afromexicanas</w:t>
      </w:r>
    </w:p>
    <w:p w14:paraId="28428EE1"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 xml:space="preserve">Secretaría de Fomento Agroalimentario y Desarrollo Rural </w:t>
      </w:r>
    </w:p>
    <w:p w14:paraId="1C70293A"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Secretaría de Finanzas</w:t>
      </w:r>
    </w:p>
    <w:p w14:paraId="15EA6798"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Secretaría de Administración</w:t>
      </w:r>
      <w:r w:rsidRPr="00031666">
        <w:rPr>
          <w:rFonts w:ascii="Montserrat" w:eastAsia="Times New Roman" w:hAnsi="Montserrat" w:cs="Arial"/>
        </w:rPr>
        <w:tab/>
      </w:r>
    </w:p>
    <w:p w14:paraId="5C94FDAC"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Secretaría de Honestidad, Transparencia y Función Pública</w:t>
      </w:r>
      <w:r w:rsidRPr="00031666">
        <w:rPr>
          <w:rFonts w:ascii="Montserrat" w:eastAsia="Times New Roman" w:hAnsi="Montserrat" w:cs="Arial"/>
        </w:rPr>
        <w:tab/>
      </w:r>
      <w:r w:rsidRPr="00031666">
        <w:rPr>
          <w:rFonts w:ascii="Montserrat" w:eastAsia="Times New Roman" w:hAnsi="Montserrat" w:cs="Arial"/>
        </w:rPr>
        <w:tab/>
      </w:r>
    </w:p>
    <w:p w14:paraId="5AD485F3"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Consejería Jurídica y Asistencia Legal del Estado</w:t>
      </w:r>
      <w:r w:rsidRPr="00031666">
        <w:rPr>
          <w:rFonts w:ascii="Montserrat" w:eastAsia="Times New Roman" w:hAnsi="Montserrat" w:cs="Arial"/>
        </w:rPr>
        <w:tab/>
      </w:r>
    </w:p>
    <w:p w14:paraId="2623ACA5"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Coordinación de Comunicación Social</w:t>
      </w:r>
      <w:r w:rsidRPr="00031666">
        <w:rPr>
          <w:rFonts w:ascii="Montserrat" w:eastAsia="Times New Roman" w:hAnsi="Montserrat" w:cs="Arial"/>
        </w:rPr>
        <w:tab/>
      </w:r>
    </w:p>
    <w:p w14:paraId="41A308F6"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Coordinación para la Atención de los Derechos Humanos</w:t>
      </w:r>
      <w:r w:rsidRPr="00031666">
        <w:rPr>
          <w:rFonts w:ascii="Montserrat" w:eastAsia="Times New Roman" w:hAnsi="Montserrat" w:cs="Arial"/>
        </w:rPr>
        <w:tab/>
      </w:r>
    </w:p>
    <w:p w14:paraId="269BA919"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Instituto de Planeación para el Bienestar</w:t>
      </w:r>
      <w:r w:rsidRPr="00031666">
        <w:rPr>
          <w:rFonts w:ascii="Montserrat" w:eastAsia="Times New Roman" w:hAnsi="Montserrat" w:cs="Arial"/>
        </w:rPr>
        <w:tab/>
      </w:r>
    </w:p>
    <w:p w14:paraId="3CB2F4DB"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Secretariado Ejecutivo del Sistema Estatal de Seguridad Pública</w:t>
      </w:r>
      <w:r w:rsidRPr="00031666">
        <w:rPr>
          <w:rFonts w:ascii="Montserrat" w:eastAsia="Times New Roman" w:hAnsi="Montserrat" w:cs="Arial"/>
        </w:rPr>
        <w:tab/>
      </w:r>
    </w:p>
    <w:p w14:paraId="3868480E"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Secretaría de Desarrollo Económico</w:t>
      </w:r>
    </w:p>
    <w:p w14:paraId="13A11A67"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lastRenderedPageBreak/>
        <w:t xml:space="preserve">Secretaría de Turismo </w:t>
      </w:r>
    </w:p>
    <w:p w14:paraId="267EA8AD"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 xml:space="preserve">Secretaría de las Mujeres </w:t>
      </w:r>
    </w:p>
    <w:p w14:paraId="6419C4B8"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Secretaría del Medio Ambiente, Biodiversidad, Energías y Sostenibilidad</w:t>
      </w:r>
    </w:p>
    <w:p w14:paraId="4B9CB8CF" w14:textId="77777777" w:rsidR="00B0059B" w:rsidRPr="00031666" w:rsidRDefault="00B0059B" w:rsidP="00031666">
      <w:pPr>
        <w:pStyle w:val="Prrafodelista"/>
        <w:numPr>
          <w:ilvl w:val="0"/>
          <w:numId w:val="37"/>
        </w:numPr>
        <w:tabs>
          <w:tab w:val="left" w:pos="7260"/>
        </w:tabs>
        <w:jc w:val="both"/>
        <w:rPr>
          <w:rFonts w:ascii="Montserrat" w:eastAsia="Times New Roman" w:hAnsi="Montserrat" w:cs="Arial"/>
        </w:rPr>
      </w:pPr>
      <w:r w:rsidRPr="00031666">
        <w:rPr>
          <w:rFonts w:ascii="Montserrat" w:eastAsia="Times New Roman" w:hAnsi="Montserrat" w:cs="Arial"/>
        </w:rPr>
        <w:t>Secretaria de Educación Pública</w:t>
      </w:r>
    </w:p>
    <w:p w14:paraId="566AC19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Así mismo, el Poder Ejecutivo, con base en el Artículo 3, fracción II y III, de la Ley Orgánica del Poder Ejecutivo del Estado de Oaxaca cuenta Administración Pública Descentralizada y los Órganos Auxiliares, definidos como institutos públicos creados mediante decreto del H. Congreso del Estado, con personalidad jurídica y patrimonio propio, cualquiera que sea la denominación, estructura y forma de organización que adopten, por lo tanto, su información financiera, presupuestal y contable, incluyendo las Notas a los Estados Financieros se presentan en el Tomo V Sector Paraestatal.</w:t>
      </w:r>
    </w:p>
    <w:p w14:paraId="58921A12" w14:textId="77777777" w:rsidR="00B0059B" w:rsidRPr="00FD2DE6" w:rsidRDefault="00B0059B" w:rsidP="00B0059B">
      <w:pPr>
        <w:autoSpaceDE w:val="0"/>
        <w:autoSpaceDN w:val="0"/>
        <w:adjustRightInd w:val="0"/>
        <w:jc w:val="both"/>
        <w:rPr>
          <w:rFonts w:ascii="Montserrat" w:hAnsi="Montserrat"/>
        </w:rPr>
      </w:pPr>
    </w:p>
    <w:p w14:paraId="77FEF84E" w14:textId="1F66EF10" w:rsidR="00B0059B" w:rsidRPr="00FD2DE6" w:rsidRDefault="00B0059B" w:rsidP="00B0059B">
      <w:pPr>
        <w:autoSpaceDE w:val="0"/>
        <w:autoSpaceDN w:val="0"/>
        <w:adjustRightInd w:val="0"/>
        <w:jc w:val="both"/>
        <w:rPr>
          <w:rFonts w:ascii="Montserrat" w:eastAsia="Times New Roman" w:hAnsi="Montserrat" w:cs="Arial"/>
        </w:rPr>
      </w:pPr>
      <w:r w:rsidRPr="00FD2DE6">
        <w:rPr>
          <w:rFonts w:ascii="Montserrat" w:eastAsia="Times New Roman" w:hAnsi="Montserrat" w:cs="Arial"/>
        </w:rPr>
        <w:t xml:space="preserve">Es importante mencionar que en lo que va de la presente administración se han extinguido </w:t>
      </w:r>
      <w:r w:rsidR="00AF7183">
        <w:rPr>
          <w:rFonts w:ascii="Montserrat" w:eastAsia="Times New Roman" w:hAnsi="Montserrat" w:cs="Arial"/>
        </w:rPr>
        <w:t>quince</w:t>
      </w:r>
      <w:r w:rsidRPr="00FD2DE6">
        <w:rPr>
          <w:rFonts w:ascii="Montserrat" w:eastAsia="Times New Roman" w:hAnsi="Montserrat" w:cs="Arial"/>
        </w:rPr>
        <w:t xml:space="preserve"> entes públicos, dos pertenecientes a la Administración Pública Centralizada, </w:t>
      </w:r>
      <w:r w:rsidR="002B1DFE">
        <w:rPr>
          <w:rFonts w:ascii="Montserrat" w:eastAsia="Times New Roman" w:hAnsi="Montserrat" w:cs="Arial"/>
        </w:rPr>
        <w:t>once</w:t>
      </w:r>
      <w:r w:rsidRPr="00FD2DE6">
        <w:rPr>
          <w:rFonts w:ascii="Montserrat" w:eastAsia="Times New Roman" w:hAnsi="Montserrat" w:cs="Arial"/>
        </w:rPr>
        <w:t xml:space="preserve"> a la Administración Pública Descentralizada, uno a los Órganos Auxiliares y uno más a los Órganos Autónomos de los cuales diez fueron absorbidos por dependencias del Sector Central y uno se transformó parte de la Administración Pública Descentralizada</w:t>
      </w:r>
      <w:r w:rsidR="00D55BB4">
        <w:rPr>
          <w:rFonts w:ascii="Montserrat" w:eastAsia="Times New Roman" w:hAnsi="Montserrat" w:cs="Arial"/>
        </w:rPr>
        <w:t xml:space="preserve">; </w:t>
      </w:r>
      <w:r w:rsidRPr="00FD2DE6">
        <w:rPr>
          <w:rFonts w:ascii="Montserrat" w:eastAsia="Times New Roman" w:hAnsi="Montserrat" w:cs="Arial"/>
        </w:rPr>
        <w:t>de acuerdo con el siguiente cuadro:</w:t>
      </w:r>
    </w:p>
    <w:p w14:paraId="365468E9" w14:textId="77777777" w:rsidR="00362B39" w:rsidRPr="00FD2DE6" w:rsidRDefault="00362B39" w:rsidP="00B0059B">
      <w:pPr>
        <w:autoSpaceDE w:val="0"/>
        <w:autoSpaceDN w:val="0"/>
        <w:adjustRightInd w:val="0"/>
        <w:jc w:val="both"/>
        <w:rPr>
          <w:rFonts w:ascii="Montserrat" w:eastAsia="Times New Roman" w:hAnsi="Montserrat" w:cs="Arial"/>
        </w:rPr>
      </w:pPr>
    </w:p>
    <w:tbl>
      <w:tblPr>
        <w:tblW w:w="90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0"/>
        <w:gridCol w:w="4830"/>
      </w:tblGrid>
      <w:tr w:rsidR="00732FA0" w:rsidRPr="00732FA0" w14:paraId="22225815" w14:textId="77777777" w:rsidTr="00732FA0">
        <w:trPr>
          <w:trHeight w:val="309"/>
          <w:tblHeader/>
        </w:trPr>
        <w:tc>
          <w:tcPr>
            <w:tcW w:w="4210" w:type="dxa"/>
            <w:shd w:val="clear" w:color="auto" w:fill="A6A6A6" w:themeFill="background1" w:themeFillShade="A6"/>
            <w:vAlign w:val="center"/>
            <w:hideMark/>
          </w:tcPr>
          <w:p w14:paraId="2F51C888" w14:textId="77777777" w:rsidR="00362B39" w:rsidRPr="00732FA0" w:rsidRDefault="00362B39" w:rsidP="00362B39">
            <w:pPr>
              <w:jc w:val="center"/>
              <w:rPr>
                <w:rFonts w:ascii="Montserrat" w:eastAsia="Times New Roman" w:hAnsi="Montserrat" w:cs="Times New Roman"/>
                <w:b/>
                <w:bCs/>
                <w:color w:val="FFFFFF" w:themeColor="background1"/>
                <w:sz w:val="22"/>
                <w:szCs w:val="22"/>
                <w:lang w:val="es-MX"/>
              </w:rPr>
            </w:pPr>
            <w:r w:rsidRPr="00732FA0">
              <w:rPr>
                <w:rFonts w:ascii="Montserrat" w:eastAsia="Times New Roman" w:hAnsi="Montserrat" w:cs="Times New Roman"/>
                <w:b/>
                <w:bCs/>
                <w:color w:val="FFFFFF" w:themeColor="background1"/>
                <w:sz w:val="22"/>
                <w:szCs w:val="22"/>
              </w:rPr>
              <w:t>Ente extinto</w:t>
            </w:r>
          </w:p>
        </w:tc>
        <w:tc>
          <w:tcPr>
            <w:tcW w:w="4830" w:type="dxa"/>
            <w:shd w:val="clear" w:color="auto" w:fill="A6A6A6" w:themeFill="background1" w:themeFillShade="A6"/>
            <w:vAlign w:val="center"/>
            <w:hideMark/>
          </w:tcPr>
          <w:p w14:paraId="6F86D18F" w14:textId="77777777" w:rsidR="00362B39" w:rsidRPr="00732FA0" w:rsidRDefault="00362B39" w:rsidP="00362B39">
            <w:pPr>
              <w:jc w:val="center"/>
              <w:rPr>
                <w:rFonts w:ascii="Montserrat" w:eastAsia="Times New Roman" w:hAnsi="Montserrat" w:cs="Times New Roman"/>
                <w:b/>
                <w:bCs/>
                <w:color w:val="FFFFFF" w:themeColor="background1"/>
                <w:sz w:val="22"/>
                <w:szCs w:val="22"/>
                <w:lang w:val="es-MX"/>
              </w:rPr>
            </w:pPr>
            <w:r w:rsidRPr="00732FA0">
              <w:rPr>
                <w:rFonts w:ascii="Montserrat" w:eastAsia="Times New Roman" w:hAnsi="Montserrat" w:cs="Times New Roman"/>
                <w:b/>
                <w:bCs/>
                <w:color w:val="FFFFFF" w:themeColor="background1"/>
                <w:sz w:val="22"/>
                <w:szCs w:val="22"/>
              </w:rPr>
              <w:t xml:space="preserve">Dependencia </w:t>
            </w:r>
            <w:proofErr w:type="spellStart"/>
            <w:r w:rsidRPr="00732FA0">
              <w:rPr>
                <w:rFonts w:ascii="Montserrat" w:eastAsia="Times New Roman" w:hAnsi="Montserrat" w:cs="Times New Roman"/>
                <w:b/>
                <w:bCs/>
                <w:color w:val="FFFFFF" w:themeColor="background1"/>
                <w:sz w:val="22"/>
                <w:szCs w:val="22"/>
              </w:rPr>
              <w:t>fusionante</w:t>
            </w:r>
            <w:proofErr w:type="spellEnd"/>
          </w:p>
        </w:tc>
      </w:tr>
      <w:tr w:rsidR="00FD2DE6" w:rsidRPr="00FD2DE6" w14:paraId="228876D5" w14:textId="77777777" w:rsidTr="001536E6">
        <w:trPr>
          <w:trHeight w:val="475"/>
        </w:trPr>
        <w:tc>
          <w:tcPr>
            <w:tcW w:w="4210" w:type="dxa"/>
            <w:shd w:val="clear" w:color="auto" w:fill="auto"/>
            <w:vAlign w:val="center"/>
            <w:hideMark/>
          </w:tcPr>
          <w:p w14:paraId="1A99DE4B"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Coordinación General de Unidades y Caravanas Móviles de Servicios Gratuitos</w:t>
            </w:r>
          </w:p>
        </w:tc>
        <w:tc>
          <w:tcPr>
            <w:tcW w:w="4830" w:type="dxa"/>
            <w:shd w:val="clear" w:color="auto" w:fill="auto"/>
            <w:vAlign w:val="center"/>
            <w:hideMark/>
          </w:tcPr>
          <w:p w14:paraId="1BF1B3B9"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 xml:space="preserve">Secretaría de Bienestar, Tequio e Inclusión </w:t>
            </w:r>
          </w:p>
        </w:tc>
      </w:tr>
      <w:tr w:rsidR="00036380" w:rsidRPr="00FD2DE6" w14:paraId="34FA5E89" w14:textId="77777777" w:rsidTr="001536E6">
        <w:trPr>
          <w:trHeight w:val="242"/>
        </w:trPr>
        <w:tc>
          <w:tcPr>
            <w:tcW w:w="4210" w:type="dxa"/>
            <w:shd w:val="clear" w:color="auto" w:fill="auto"/>
            <w:vAlign w:val="center"/>
            <w:hideMark/>
          </w:tcPr>
          <w:p w14:paraId="68438CD0" w14:textId="77777777" w:rsidR="00036380" w:rsidRPr="00FD2DE6" w:rsidRDefault="00036380"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Coordinación General de Enlace Federal</w:t>
            </w:r>
          </w:p>
        </w:tc>
        <w:tc>
          <w:tcPr>
            <w:tcW w:w="4830" w:type="dxa"/>
            <w:vMerge w:val="restart"/>
            <w:shd w:val="clear" w:color="auto" w:fill="auto"/>
            <w:vAlign w:val="center"/>
            <w:hideMark/>
          </w:tcPr>
          <w:p w14:paraId="027DF3B0" w14:textId="77777777" w:rsidR="00036380" w:rsidRPr="00FD2DE6" w:rsidRDefault="00036380"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Secretaría de Gobierno</w:t>
            </w:r>
          </w:p>
        </w:tc>
      </w:tr>
      <w:tr w:rsidR="00036380" w:rsidRPr="00FD2DE6" w14:paraId="093D0AD7" w14:textId="77777777" w:rsidTr="001536E6">
        <w:trPr>
          <w:trHeight w:val="242"/>
        </w:trPr>
        <w:tc>
          <w:tcPr>
            <w:tcW w:w="4210" w:type="dxa"/>
            <w:shd w:val="clear" w:color="auto" w:fill="auto"/>
            <w:vAlign w:val="center"/>
          </w:tcPr>
          <w:p w14:paraId="0A0B67B5" w14:textId="346422B1" w:rsidR="00036380" w:rsidRPr="00FD2DE6" w:rsidRDefault="00036380" w:rsidP="00036380">
            <w:pPr>
              <w:rPr>
                <w:rFonts w:ascii="Montserrat" w:eastAsia="Times New Roman" w:hAnsi="Montserrat" w:cs="Times New Roman"/>
                <w:sz w:val="22"/>
                <w:szCs w:val="22"/>
              </w:rPr>
            </w:pPr>
            <w:r w:rsidRPr="00FD2DE6">
              <w:rPr>
                <w:rFonts w:ascii="Montserrat" w:eastAsia="Times New Roman" w:hAnsi="Montserrat" w:cs="Times New Roman"/>
                <w:sz w:val="22"/>
                <w:szCs w:val="22"/>
              </w:rPr>
              <w:t>Dirección General de Población</w:t>
            </w:r>
          </w:p>
        </w:tc>
        <w:tc>
          <w:tcPr>
            <w:tcW w:w="4830" w:type="dxa"/>
            <w:vMerge/>
            <w:shd w:val="clear" w:color="auto" w:fill="auto"/>
            <w:vAlign w:val="center"/>
          </w:tcPr>
          <w:p w14:paraId="729640B3" w14:textId="77777777" w:rsidR="00036380" w:rsidRPr="00FD2DE6" w:rsidRDefault="00036380" w:rsidP="00036380">
            <w:pPr>
              <w:rPr>
                <w:rFonts w:ascii="Montserrat" w:eastAsia="Times New Roman" w:hAnsi="Montserrat" w:cs="Times New Roman"/>
                <w:sz w:val="22"/>
                <w:szCs w:val="22"/>
              </w:rPr>
            </w:pPr>
          </w:p>
        </w:tc>
      </w:tr>
      <w:tr w:rsidR="00036380" w:rsidRPr="00FD2DE6" w14:paraId="2C068858" w14:textId="77777777" w:rsidTr="001536E6">
        <w:trPr>
          <w:trHeight w:val="242"/>
        </w:trPr>
        <w:tc>
          <w:tcPr>
            <w:tcW w:w="4210" w:type="dxa"/>
            <w:shd w:val="clear" w:color="auto" w:fill="auto"/>
            <w:vAlign w:val="center"/>
          </w:tcPr>
          <w:p w14:paraId="55E906EF" w14:textId="0093AF5B" w:rsidR="00036380" w:rsidRPr="00FD2DE6" w:rsidRDefault="00036380" w:rsidP="00036380">
            <w:pPr>
              <w:rPr>
                <w:rFonts w:ascii="Montserrat" w:eastAsia="Times New Roman" w:hAnsi="Montserrat" w:cs="Times New Roman"/>
                <w:sz w:val="22"/>
                <w:szCs w:val="22"/>
              </w:rPr>
            </w:pPr>
            <w:r w:rsidRPr="00FD2DE6">
              <w:rPr>
                <w:rFonts w:ascii="Montserrat" w:eastAsia="Times New Roman" w:hAnsi="Montserrat" w:cs="Times New Roman"/>
                <w:sz w:val="22"/>
                <w:szCs w:val="22"/>
              </w:rPr>
              <w:t>Instituto de Atención Integral al Migrante Oaxaqueño</w:t>
            </w:r>
          </w:p>
        </w:tc>
        <w:tc>
          <w:tcPr>
            <w:tcW w:w="4830" w:type="dxa"/>
            <w:vMerge/>
            <w:shd w:val="clear" w:color="auto" w:fill="auto"/>
            <w:vAlign w:val="center"/>
          </w:tcPr>
          <w:p w14:paraId="67BBD5D0" w14:textId="77777777" w:rsidR="00036380" w:rsidRPr="00FD2DE6" w:rsidRDefault="00036380" w:rsidP="00036380">
            <w:pPr>
              <w:rPr>
                <w:rFonts w:ascii="Montserrat" w:eastAsia="Times New Roman" w:hAnsi="Montserrat" w:cs="Times New Roman"/>
                <w:sz w:val="22"/>
                <w:szCs w:val="22"/>
              </w:rPr>
            </w:pPr>
          </w:p>
        </w:tc>
      </w:tr>
      <w:tr w:rsidR="00036380" w:rsidRPr="00FD2DE6" w14:paraId="2BE9831F" w14:textId="77777777" w:rsidTr="001536E6">
        <w:trPr>
          <w:trHeight w:val="475"/>
        </w:trPr>
        <w:tc>
          <w:tcPr>
            <w:tcW w:w="4210" w:type="dxa"/>
            <w:shd w:val="clear" w:color="auto" w:fill="auto"/>
            <w:vAlign w:val="center"/>
            <w:hideMark/>
          </w:tcPr>
          <w:p w14:paraId="04097F13"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Coordinación General de Relaciones Internacionales</w:t>
            </w:r>
          </w:p>
        </w:tc>
        <w:tc>
          <w:tcPr>
            <w:tcW w:w="4830" w:type="dxa"/>
            <w:shd w:val="clear" w:color="auto" w:fill="auto"/>
            <w:vAlign w:val="center"/>
            <w:hideMark/>
          </w:tcPr>
          <w:p w14:paraId="7B5CA316"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Ninguna</w:t>
            </w:r>
          </w:p>
        </w:tc>
      </w:tr>
      <w:tr w:rsidR="00036380" w:rsidRPr="00FD2DE6" w14:paraId="73B25F27" w14:textId="77777777" w:rsidTr="001536E6">
        <w:trPr>
          <w:trHeight w:val="475"/>
        </w:trPr>
        <w:tc>
          <w:tcPr>
            <w:tcW w:w="4210" w:type="dxa"/>
            <w:shd w:val="clear" w:color="auto" w:fill="auto"/>
            <w:vAlign w:val="center"/>
            <w:hideMark/>
          </w:tcPr>
          <w:p w14:paraId="3858071E"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Oficina de Convenciones y Visitantes de Oaxaca “OCV Oaxaca”</w:t>
            </w:r>
          </w:p>
        </w:tc>
        <w:tc>
          <w:tcPr>
            <w:tcW w:w="4830" w:type="dxa"/>
            <w:shd w:val="clear" w:color="auto" w:fill="auto"/>
            <w:vAlign w:val="center"/>
            <w:hideMark/>
          </w:tcPr>
          <w:p w14:paraId="2415CEFC"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Secretaría de Administración</w:t>
            </w:r>
          </w:p>
        </w:tc>
      </w:tr>
      <w:tr w:rsidR="00036380" w:rsidRPr="00FD2DE6" w14:paraId="59788B65" w14:textId="77777777" w:rsidTr="001536E6">
        <w:trPr>
          <w:trHeight w:val="475"/>
        </w:trPr>
        <w:tc>
          <w:tcPr>
            <w:tcW w:w="4210" w:type="dxa"/>
            <w:shd w:val="clear" w:color="auto" w:fill="auto"/>
            <w:vAlign w:val="center"/>
            <w:hideMark/>
          </w:tcPr>
          <w:p w14:paraId="4B26D04A"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Instituto Oaxaqueño de Emprendedor y de la Competitividad</w:t>
            </w:r>
          </w:p>
        </w:tc>
        <w:tc>
          <w:tcPr>
            <w:tcW w:w="4830" w:type="dxa"/>
            <w:vMerge w:val="restart"/>
            <w:shd w:val="clear" w:color="auto" w:fill="auto"/>
            <w:vAlign w:val="center"/>
            <w:hideMark/>
          </w:tcPr>
          <w:p w14:paraId="2B11806C"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Secretaria de Desarrollo Económico</w:t>
            </w:r>
          </w:p>
        </w:tc>
      </w:tr>
      <w:tr w:rsidR="00036380" w:rsidRPr="00FD2DE6" w14:paraId="05857743" w14:textId="77777777" w:rsidTr="001536E6">
        <w:trPr>
          <w:trHeight w:val="557"/>
        </w:trPr>
        <w:tc>
          <w:tcPr>
            <w:tcW w:w="4210" w:type="dxa"/>
            <w:shd w:val="clear" w:color="auto" w:fill="auto"/>
            <w:vAlign w:val="center"/>
            <w:hideMark/>
          </w:tcPr>
          <w:p w14:paraId="00888B92"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Instituto para el Fomento y la Protección de las Artesanías</w:t>
            </w:r>
          </w:p>
        </w:tc>
        <w:tc>
          <w:tcPr>
            <w:tcW w:w="4830" w:type="dxa"/>
            <w:vMerge/>
            <w:vAlign w:val="center"/>
            <w:hideMark/>
          </w:tcPr>
          <w:p w14:paraId="115F0668" w14:textId="77777777" w:rsidR="00036380" w:rsidRPr="00FD2DE6" w:rsidRDefault="00036380" w:rsidP="00036380">
            <w:pPr>
              <w:rPr>
                <w:rFonts w:ascii="Montserrat" w:eastAsia="Times New Roman" w:hAnsi="Montserrat" w:cs="Times New Roman"/>
                <w:sz w:val="22"/>
                <w:szCs w:val="22"/>
                <w:lang w:val="es-MX"/>
              </w:rPr>
            </w:pPr>
          </w:p>
        </w:tc>
      </w:tr>
      <w:tr w:rsidR="00036380" w:rsidRPr="00FD2DE6" w14:paraId="4C60E49D" w14:textId="77777777" w:rsidTr="001536E6">
        <w:trPr>
          <w:trHeight w:val="557"/>
        </w:trPr>
        <w:tc>
          <w:tcPr>
            <w:tcW w:w="4210" w:type="dxa"/>
            <w:shd w:val="clear" w:color="auto" w:fill="auto"/>
            <w:vAlign w:val="center"/>
          </w:tcPr>
          <w:p w14:paraId="77E997A4" w14:textId="7B79569F" w:rsidR="00036380" w:rsidRPr="00FD2DE6" w:rsidRDefault="00036380" w:rsidP="00036380">
            <w:pPr>
              <w:rPr>
                <w:rFonts w:ascii="Montserrat" w:eastAsia="Times New Roman" w:hAnsi="Montserrat" w:cs="Times New Roman"/>
                <w:sz w:val="22"/>
                <w:szCs w:val="22"/>
              </w:rPr>
            </w:pPr>
            <w:r w:rsidRPr="009069FF">
              <w:rPr>
                <w:rFonts w:ascii="Montserrat" w:eastAsia="Times New Roman" w:hAnsi="Montserrat" w:cs="Times New Roman"/>
                <w:sz w:val="22"/>
                <w:szCs w:val="22"/>
              </w:rPr>
              <w:lastRenderedPageBreak/>
              <w:t>Coordinación Estatal del Corredor Interoceánico del Istmo</w:t>
            </w:r>
          </w:p>
        </w:tc>
        <w:tc>
          <w:tcPr>
            <w:tcW w:w="4830" w:type="dxa"/>
            <w:vAlign w:val="center"/>
          </w:tcPr>
          <w:p w14:paraId="576B59CD" w14:textId="16EF7183" w:rsidR="00036380" w:rsidRPr="00FD2DE6" w:rsidRDefault="00036380" w:rsidP="00036380">
            <w:pPr>
              <w:rPr>
                <w:rFonts w:ascii="Montserrat" w:eastAsia="Times New Roman" w:hAnsi="Montserrat" w:cs="Times New Roman"/>
                <w:sz w:val="22"/>
                <w:szCs w:val="22"/>
                <w:lang w:val="es-MX"/>
              </w:rPr>
            </w:pPr>
            <w:r w:rsidRPr="009069FF">
              <w:rPr>
                <w:rFonts w:ascii="Montserrat" w:eastAsia="Times New Roman" w:hAnsi="Montserrat" w:cs="Times New Roman"/>
                <w:sz w:val="22"/>
                <w:szCs w:val="22"/>
                <w:lang w:val="es-MX"/>
              </w:rPr>
              <w:t>Gubernatura</w:t>
            </w:r>
          </w:p>
        </w:tc>
      </w:tr>
      <w:tr w:rsidR="00036380" w:rsidRPr="00FD2DE6" w14:paraId="39929E38" w14:textId="77777777" w:rsidTr="001536E6">
        <w:trPr>
          <w:trHeight w:val="709"/>
        </w:trPr>
        <w:tc>
          <w:tcPr>
            <w:tcW w:w="4210" w:type="dxa"/>
            <w:shd w:val="clear" w:color="auto" w:fill="auto"/>
            <w:vAlign w:val="center"/>
            <w:hideMark/>
          </w:tcPr>
          <w:p w14:paraId="6C3CFC26"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Coordinación General de Educación Media Superior y Superior, Ciencia y Tecnología</w:t>
            </w:r>
          </w:p>
        </w:tc>
        <w:tc>
          <w:tcPr>
            <w:tcW w:w="4830" w:type="dxa"/>
            <w:vMerge w:val="restart"/>
            <w:shd w:val="clear" w:color="auto" w:fill="auto"/>
            <w:vAlign w:val="center"/>
            <w:hideMark/>
          </w:tcPr>
          <w:p w14:paraId="7AA225D7"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Secretaria de Educación Pública</w:t>
            </w:r>
          </w:p>
        </w:tc>
      </w:tr>
      <w:tr w:rsidR="00036380" w:rsidRPr="00FD2DE6" w14:paraId="50954E06" w14:textId="77777777" w:rsidTr="001536E6">
        <w:trPr>
          <w:trHeight w:val="709"/>
        </w:trPr>
        <w:tc>
          <w:tcPr>
            <w:tcW w:w="4210" w:type="dxa"/>
            <w:shd w:val="clear" w:color="auto" w:fill="auto"/>
            <w:vAlign w:val="center"/>
            <w:hideMark/>
          </w:tcPr>
          <w:p w14:paraId="48CCA096"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Comisión Estatal para la Planeación de la Educación Superior en el Estado de Oaxaca</w:t>
            </w:r>
          </w:p>
        </w:tc>
        <w:tc>
          <w:tcPr>
            <w:tcW w:w="4830" w:type="dxa"/>
            <w:vMerge/>
            <w:vAlign w:val="center"/>
            <w:hideMark/>
          </w:tcPr>
          <w:p w14:paraId="6D3976F4" w14:textId="77777777" w:rsidR="00036380" w:rsidRPr="00FD2DE6" w:rsidRDefault="00036380" w:rsidP="00036380">
            <w:pPr>
              <w:rPr>
                <w:rFonts w:ascii="Montserrat" w:eastAsia="Times New Roman" w:hAnsi="Montserrat" w:cs="Times New Roman"/>
                <w:sz w:val="22"/>
                <w:szCs w:val="22"/>
                <w:lang w:val="es-MX"/>
              </w:rPr>
            </w:pPr>
          </w:p>
        </w:tc>
      </w:tr>
      <w:tr w:rsidR="00036380" w:rsidRPr="00FD2DE6" w14:paraId="6D6E56E5" w14:textId="77777777" w:rsidTr="001536E6">
        <w:trPr>
          <w:trHeight w:val="709"/>
        </w:trPr>
        <w:tc>
          <w:tcPr>
            <w:tcW w:w="4210" w:type="dxa"/>
            <w:shd w:val="clear" w:color="auto" w:fill="auto"/>
            <w:vAlign w:val="center"/>
            <w:hideMark/>
          </w:tcPr>
          <w:p w14:paraId="0ADF1EDD"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Comisión Estatal para la Planeación y Programación de la Educación Media Superior en Estado de Oaxaca</w:t>
            </w:r>
          </w:p>
        </w:tc>
        <w:tc>
          <w:tcPr>
            <w:tcW w:w="4830" w:type="dxa"/>
            <w:vMerge/>
            <w:vAlign w:val="center"/>
            <w:hideMark/>
          </w:tcPr>
          <w:p w14:paraId="2CAFC03B" w14:textId="77777777" w:rsidR="00036380" w:rsidRPr="00FD2DE6" w:rsidRDefault="00036380" w:rsidP="00036380">
            <w:pPr>
              <w:rPr>
                <w:rFonts w:ascii="Montserrat" w:eastAsia="Times New Roman" w:hAnsi="Montserrat" w:cs="Times New Roman"/>
                <w:sz w:val="22"/>
                <w:szCs w:val="22"/>
                <w:lang w:val="es-MX"/>
              </w:rPr>
            </w:pPr>
          </w:p>
        </w:tc>
      </w:tr>
      <w:tr w:rsidR="00036380" w:rsidRPr="00FD2DE6" w14:paraId="5D9D9A55" w14:textId="77777777" w:rsidTr="001536E6">
        <w:trPr>
          <w:trHeight w:val="242"/>
        </w:trPr>
        <w:tc>
          <w:tcPr>
            <w:tcW w:w="4210" w:type="dxa"/>
            <w:shd w:val="clear" w:color="auto" w:fill="auto"/>
            <w:vAlign w:val="center"/>
            <w:hideMark/>
          </w:tcPr>
          <w:p w14:paraId="3D0889A0"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Universidad Autónoma Comunal</w:t>
            </w:r>
          </w:p>
        </w:tc>
        <w:tc>
          <w:tcPr>
            <w:tcW w:w="4830" w:type="dxa"/>
            <w:shd w:val="clear" w:color="auto" w:fill="auto"/>
            <w:vAlign w:val="center"/>
            <w:hideMark/>
          </w:tcPr>
          <w:p w14:paraId="0B94917A" w14:textId="77777777" w:rsidR="00036380" w:rsidRPr="00FD2DE6" w:rsidRDefault="00036380" w:rsidP="00036380">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Universidad Autónoma Comunal - OPD</w:t>
            </w:r>
          </w:p>
        </w:tc>
      </w:tr>
      <w:tr w:rsidR="00036380" w:rsidRPr="00FD2DE6" w14:paraId="09BC7075" w14:textId="77777777" w:rsidTr="001536E6">
        <w:trPr>
          <w:trHeight w:val="475"/>
        </w:trPr>
        <w:tc>
          <w:tcPr>
            <w:tcW w:w="4210" w:type="dxa"/>
            <w:shd w:val="clear" w:color="auto" w:fill="auto"/>
            <w:vAlign w:val="center"/>
            <w:hideMark/>
          </w:tcPr>
          <w:p w14:paraId="0236A4BF" w14:textId="77777777" w:rsidR="00036380" w:rsidRPr="00036380" w:rsidRDefault="00036380" w:rsidP="00036380">
            <w:pPr>
              <w:rPr>
                <w:rFonts w:ascii="Montserrat" w:eastAsia="Times New Roman" w:hAnsi="Montserrat" w:cs="Times New Roman"/>
                <w:sz w:val="22"/>
                <w:szCs w:val="22"/>
              </w:rPr>
            </w:pPr>
            <w:r w:rsidRPr="00FD2DE6">
              <w:rPr>
                <w:rFonts w:ascii="Montserrat" w:eastAsia="Times New Roman" w:hAnsi="Montserrat" w:cs="Times New Roman"/>
                <w:sz w:val="22"/>
                <w:szCs w:val="22"/>
              </w:rPr>
              <w:t>Jefatura de Gabinete</w:t>
            </w:r>
          </w:p>
        </w:tc>
        <w:tc>
          <w:tcPr>
            <w:tcW w:w="4830" w:type="dxa"/>
            <w:shd w:val="clear" w:color="auto" w:fill="auto"/>
            <w:vAlign w:val="center"/>
            <w:hideMark/>
          </w:tcPr>
          <w:p w14:paraId="055ADC27" w14:textId="77777777" w:rsidR="00036380" w:rsidRPr="00036380" w:rsidRDefault="00036380" w:rsidP="00036380">
            <w:pPr>
              <w:rPr>
                <w:rFonts w:ascii="Montserrat" w:eastAsia="Times New Roman" w:hAnsi="Montserrat" w:cs="Times New Roman"/>
                <w:sz w:val="22"/>
                <w:szCs w:val="22"/>
              </w:rPr>
            </w:pPr>
            <w:r w:rsidRPr="00FD2DE6">
              <w:rPr>
                <w:rFonts w:ascii="Montserrat" w:eastAsia="Times New Roman" w:hAnsi="Montserrat" w:cs="Times New Roman"/>
                <w:sz w:val="22"/>
                <w:szCs w:val="22"/>
              </w:rPr>
              <w:t>Ninguna</w:t>
            </w:r>
          </w:p>
        </w:tc>
      </w:tr>
      <w:tr w:rsidR="00036380" w:rsidRPr="00FD2DE6" w14:paraId="21FF9C9D" w14:textId="77777777" w:rsidTr="001536E6">
        <w:trPr>
          <w:trHeight w:val="475"/>
        </w:trPr>
        <w:tc>
          <w:tcPr>
            <w:tcW w:w="4210" w:type="dxa"/>
            <w:shd w:val="clear" w:color="auto" w:fill="auto"/>
            <w:vAlign w:val="center"/>
          </w:tcPr>
          <w:p w14:paraId="31803FBD" w14:textId="1DFA0C43" w:rsidR="00036380" w:rsidRPr="00FD2DE6" w:rsidRDefault="00036380" w:rsidP="00036380">
            <w:pPr>
              <w:rPr>
                <w:rFonts w:ascii="Montserrat" w:eastAsia="Times New Roman" w:hAnsi="Montserrat" w:cs="Times New Roman"/>
                <w:sz w:val="22"/>
                <w:szCs w:val="22"/>
              </w:rPr>
            </w:pPr>
            <w:r w:rsidRPr="00036380">
              <w:rPr>
                <w:rFonts w:ascii="Montserrat" w:eastAsia="Times New Roman" w:hAnsi="Montserrat" w:cs="Times New Roman"/>
                <w:sz w:val="22"/>
                <w:szCs w:val="22"/>
              </w:rPr>
              <w:t>Secretaría Ejecutiva del Sistema Estatal de Combate a la Corrupción</w:t>
            </w:r>
          </w:p>
        </w:tc>
        <w:tc>
          <w:tcPr>
            <w:tcW w:w="4830" w:type="dxa"/>
            <w:shd w:val="clear" w:color="auto" w:fill="auto"/>
            <w:vAlign w:val="center"/>
          </w:tcPr>
          <w:p w14:paraId="201A0A08" w14:textId="01506E37" w:rsidR="00036380" w:rsidRPr="00FD2DE6" w:rsidRDefault="00036380" w:rsidP="00036380">
            <w:pPr>
              <w:rPr>
                <w:rFonts w:ascii="Montserrat" w:eastAsia="Times New Roman" w:hAnsi="Montserrat" w:cs="Times New Roman"/>
                <w:sz w:val="22"/>
                <w:szCs w:val="22"/>
              </w:rPr>
            </w:pPr>
            <w:r w:rsidRPr="00FD2DE6">
              <w:rPr>
                <w:rFonts w:ascii="Montserrat" w:eastAsia="Times New Roman" w:hAnsi="Montserrat" w:cs="Times New Roman"/>
                <w:sz w:val="22"/>
                <w:szCs w:val="22"/>
              </w:rPr>
              <w:t>Ninguna</w:t>
            </w:r>
          </w:p>
        </w:tc>
      </w:tr>
    </w:tbl>
    <w:p w14:paraId="4D44D150" w14:textId="77777777" w:rsidR="00B0059B" w:rsidRPr="00FD2DE6" w:rsidRDefault="00B0059B" w:rsidP="00B0059B">
      <w:pPr>
        <w:tabs>
          <w:tab w:val="left" w:pos="7260"/>
        </w:tabs>
        <w:jc w:val="both"/>
        <w:rPr>
          <w:rFonts w:ascii="Montserrat" w:eastAsia="Times New Roman" w:hAnsi="Montserrat" w:cs="Arial"/>
        </w:rPr>
      </w:pPr>
    </w:p>
    <w:p w14:paraId="641ED5BC" w14:textId="77777777" w:rsidR="00B0059B" w:rsidRPr="00FD2DE6" w:rsidRDefault="00B0059B" w:rsidP="00031666">
      <w:pPr>
        <w:pStyle w:val="Prrafodelista"/>
        <w:widowControl w:val="0"/>
        <w:numPr>
          <w:ilvl w:val="0"/>
          <w:numId w:val="37"/>
        </w:numPr>
        <w:ind w:left="426" w:hanging="426"/>
        <w:jc w:val="both"/>
        <w:rPr>
          <w:rFonts w:ascii="Montserrat" w:hAnsi="Montserrat"/>
          <w:b/>
          <w:sz w:val="24"/>
          <w:szCs w:val="24"/>
        </w:rPr>
      </w:pPr>
      <w:r w:rsidRPr="00FD2DE6">
        <w:rPr>
          <w:rFonts w:ascii="Montserrat" w:hAnsi="Montserrat"/>
          <w:b/>
          <w:sz w:val="24"/>
          <w:szCs w:val="24"/>
        </w:rPr>
        <w:t>Bases para la Preparación de los Estados Financieros</w:t>
      </w:r>
    </w:p>
    <w:p w14:paraId="0DFA67D0" w14:textId="77777777" w:rsidR="00B0059B" w:rsidRPr="00FD2DE6" w:rsidRDefault="00B0059B" w:rsidP="00B0059B">
      <w:pPr>
        <w:pStyle w:val="Prrafodelista"/>
        <w:widowControl w:val="0"/>
        <w:ind w:left="426"/>
        <w:jc w:val="both"/>
        <w:rPr>
          <w:rFonts w:ascii="Montserrat" w:hAnsi="Montserrat"/>
          <w:b/>
          <w:sz w:val="24"/>
          <w:szCs w:val="24"/>
        </w:rPr>
      </w:pPr>
    </w:p>
    <w:p w14:paraId="5A6D5A39" w14:textId="77777777"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 xml:space="preserve">Normatividad emitida por el CONAC y las disposiciones legales aplicables </w:t>
      </w:r>
    </w:p>
    <w:p w14:paraId="302B175F"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Estados Financieros fueron elaborados de conformidad a lo establecido en la Ley General de Contabilidad Gubernamental y considerando la normatividad emitida por el Consejo de Armonización Contable, desde el Marco Conceptual de Contabilidad Gubernamental, publicada en el Diario Oficial de la Federación el día 20 de agosto del año 2009, lo establecido en el Capítulo VII del Manual de Contabilidad Gubernamental, relativo a los Estados e Informes Contables, Presupuestarios, Programáticos y de los Indicadores de Postura Fiscal, publicación reformada en el Diario Oficial de la Federación el día 22 de noviembre del año 2010, así como lo establecido en las normas, acuerdos, reglas, lineamientos, parámetros y demás disposiciones emitidas por el Consejo Nacional de Armonización Contable.</w:t>
      </w:r>
    </w:p>
    <w:p w14:paraId="002C691D" w14:textId="77777777" w:rsidR="00B0059B" w:rsidRPr="00FD2DE6" w:rsidRDefault="00B0059B" w:rsidP="00B0059B">
      <w:pPr>
        <w:tabs>
          <w:tab w:val="left" w:pos="426"/>
          <w:tab w:val="left" w:pos="7260"/>
        </w:tabs>
        <w:jc w:val="both"/>
        <w:rPr>
          <w:rFonts w:ascii="Montserrat" w:eastAsia="Times New Roman" w:hAnsi="Montserrat" w:cs="Arial"/>
        </w:rPr>
      </w:pPr>
    </w:p>
    <w:p w14:paraId="42C92998" w14:textId="77777777"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La normatividad aplicada para el reconocimiento, valuación y revelación de los diferentes rubros de la información financiera.</w:t>
      </w:r>
    </w:p>
    <w:p w14:paraId="3A4D7E91" w14:textId="4868F602"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La Secretaría de Finanzas, en su carácter de normativa, integra y consolida la información contable de cada una de las Unidades Responsables de registrar las operaciones que afectan el patrimonio del ente público, así mismo, la Secretaría de Finanzas, por medio del Consejo </w:t>
      </w:r>
      <w:r w:rsidR="0078682B">
        <w:rPr>
          <w:rFonts w:ascii="Montserrat" w:eastAsia="Times New Roman" w:hAnsi="Montserrat" w:cs="Arial"/>
        </w:rPr>
        <w:t xml:space="preserve">de Armonización </w:t>
      </w:r>
      <w:r w:rsidR="0078682B">
        <w:rPr>
          <w:rFonts w:ascii="Montserrat" w:eastAsia="Times New Roman" w:hAnsi="Montserrat" w:cs="Arial"/>
        </w:rPr>
        <w:lastRenderedPageBreak/>
        <w:t>Contable d</w:t>
      </w:r>
      <w:r w:rsidRPr="00FD2DE6">
        <w:rPr>
          <w:rFonts w:ascii="Montserrat" w:eastAsia="Times New Roman" w:hAnsi="Montserrat" w:cs="Arial"/>
        </w:rPr>
        <w:t>e</w:t>
      </w:r>
      <w:r w:rsidR="003D5E88">
        <w:rPr>
          <w:rFonts w:ascii="Montserrat" w:eastAsia="Times New Roman" w:hAnsi="Montserrat" w:cs="Arial"/>
        </w:rPr>
        <w:t xml:space="preserve">l Estado de </w:t>
      </w:r>
      <w:r w:rsidRPr="00FD2DE6">
        <w:rPr>
          <w:rFonts w:ascii="Montserrat" w:eastAsia="Times New Roman" w:hAnsi="Montserrat" w:cs="Arial"/>
        </w:rPr>
        <w:t>Oaxaca (CAC</w:t>
      </w:r>
      <w:r w:rsidR="0078682B">
        <w:rPr>
          <w:rFonts w:ascii="Montserrat" w:eastAsia="Times New Roman" w:hAnsi="Montserrat" w:cs="Arial"/>
        </w:rPr>
        <w:t>E</w:t>
      </w:r>
      <w:r w:rsidRPr="00FD2DE6">
        <w:rPr>
          <w:rFonts w:ascii="Montserrat" w:eastAsia="Times New Roman" w:hAnsi="Montserrat" w:cs="Arial"/>
        </w:rPr>
        <w:t>O) difunde en su página digital los documentos emitidos por el CONAC, mismos que se encuentran implementados por parte del Poder Ejecutivo, siendo los siguientes:</w:t>
      </w:r>
    </w:p>
    <w:p w14:paraId="49FD5A71" w14:textId="77777777" w:rsidR="00B0059B" w:rsidRPr="00FD2DE6" w:rsidRDefault="00B0059B" w:rsidP="00B0059B">
      <w:pPr>
        <w:tabs>
          <w:tab w:val="left" w:pos="7260"/>
        </w:tabs>
        <w:jc w:val="both"/>
        <w:rPr>
          <w:rFonts w:ascii="Montserrat" w:eastAsia="Times New Roman" w:hAnsi="Montserrat" w:cs="Arial"/>
        </w:rPr>
      </w:pPr>
    </w:p>
    <w:p w14:paraId="17836BC2"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Marco Conceptual de Contabilidad Gubernamental.</w:t>
      </w:r>
    </w:p>
    <w:p w14:paraId="27C9A8A0"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Postulados básicos de Contabilidad Gubernamental.</w:t>
      </w:r>
    </w:p>
    <w:p w14:paraId="7E56CFF9"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Normas y Metodología para la determinación de los momentos contables de los Egresos. Plan de Cuentas.</w:t>
      </w:r>
    </w:p>
    <w:p w14:paraId="63757918"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Normas y Metodologías para la Determinación de los Momentos Contables de los Ingresos.</w:t>
      </w:r>
    </w:p>
    <w:p w14:paraId="2CB36E74"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sobre los indicadores para Medir los Avances Físicos y Financieros relacionados con los Recursos Públicos Federales.</w:t>
      </w:r>
    </w:p>
    <w:p w14:paraId="7AA11EB8"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Normas y Metodología para la Emisión de Información Financiera y Estructura de los Estados Financieros Básicos del Ente Público y Características de sus Notas.</w:t>
      </w:r>
    </w:p>
    <w:p w14:paraId="12247D18"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Clasificador por Objeto del Gasto (Capítulo, Concepto g Partida Genérica).</w:t>
      </w:r>
    </w:p>
    <w:p w14:paraId="1CDFCC20"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Clasificador por Tipo de Gasto.</w:t>
      </w:r>
    </w:p>
    <w:p w14:paraId="50A6A943"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Funcional del Gasto.</w:t>
      </w:r>
    </w:p>
    <w:p w14:paraId="24B84DAD"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Adecuaciones al Clasificador por Objeto de Gasto.</w:t>
      </w:r>
    </w:p>
    <w:p w14:paraId="4D88B39F"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Manual de Contabilidad Gubernamental.</w:t>
      </w:r>
    </w:p>
    <w:p w14:paraId="105FC96F"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Principales Reglas de Registro y Valoración del Patrimonio (Elementos Generales)</w:t>
      </w:r>
    </w:p>
    <w:p w14:paraId="45BF65AA"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Funcional del Gasto (Finalidad, Función y Subfunción)</w:t>
      </w:r>
    </w:p>
    <w:p w14:paraId="5AAC0964"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14F12AFB"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Administrativa,</w:t>
      </w:r>
    </w:p>
    <w:p w14:paraId="030A9702"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Económica de los Ingresos, de los Gastos y del Financiamiento de los Entes Públicos,</w:t>
      </w:r>
    </w:p>
    <w:p w14:paraId="484FE791"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Mínimos relativos al Diseño e Integración del Registro en los Libros Diario, Mayor e Inventarios y Balances (Registro Electrónico).</w:t>
      </w:r>
    </w:p>
    <w:p w14:paraId="3C73763A"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lastRenderedPageBreak/>
        <w:t>Lineamientos para la elaboración del Catálogo de Bienes que permita la interrelación automática con el Clasificador por Objeto del Gasto y la Lista de Cuentas.</w:t>
      </w:r>
    </w:p>
    <w:p w14:paraId="348B63AA"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dirigidos a asegurar que el Sistema de Contabilidad Gubernamental facilite el Registro y Control de los inventarios de los Bienes Muebles e Inmuebles de los Entes Públicos.</w:t>
      </w:r>
    </w:p>
    <w:p w14:paraId="627B4D5E"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Reglas Específicas del Registro y Valoración del Patrimonio.</w:t>
      </w:r>
    </w:p>
    <w:p w14:paraId="2F53FC78"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para la elaboración del Catálogo de Bienes Inmuebles que permita la Interrelación Automática con el Clasificador por Objeto del Gasto y la Lista de Cuentas.</w:t>
      </w:r>
    </w:p>
    <w:p w14:paraId="440961F5"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Parámetros de Estimación de Vida Útil.</w:t>
      </w:r>
    </w:p>
    <w:p w14:paraId="36FFD017"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que deberán observar los entes públicos para registrar en las cuentas de activo los fideicomisos sin estructura orgánica y contratos análogos incluyendo mandatos.</w:t>
      </w:r>
    </w:p>
    <w:p w14:paraId="0EDEE544"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Clasificador por Fuentes de Financiamiento.</w:t>
      </w:r>
    </w:p>
    <w:p w14:paraId="180E0C31"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para la construcción y diseño de indicadores de desempeño mediante la Metodología de Marco Lógico.</w:t>
      </w:r>
    </w:p>
    <w:p w14:paraId="6DF666E6"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Norma para establecer la estructura del formato de la relación de bienes que compone el patrimonio del ente público. </w:t>
      </w:r>
    </w:p>
    <w:p w14:paraId="20D6811D"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Programática.</w:t>
      </w:r>
    </w:p>
    <w:p w14:paraId="6023FD3D" w14:textId="77777777" w:rsidR="00B0059B" w:rsidRPr="00FD2DE6" w:rsidRDefault="00B0059B" w:rsidP="00B0059B">
      <w:pPr>
        <w:tabs>
          <w:tab w:val="left" w:pos="7260"/>
        </w:tabs>
        <w:jc w:val="both"/>
        <w:rPr>
          <w:rFonts w:ascii="Montserrat" w:eastAsia="Times New Roman" w:hAnsi="Montserrat" w:cs="Arial"/>
        </w:rPr>
      </w:pPr>
    </w:p>
    <w:p w14:paraId="5FB706D8" w14:textId="77777777" w:rsidR="00B0059B" w:rsidRPr="00FD2DE6" w:rsidRDefault="00B0059B" w:rsidP="00D55BB4">
      <w:pPr>
        <w:pStyle w:val="Prrafodelista"/>
        <w:keepNext/>
        <w:widowControl w:val="0"/>
        <w:numPr>
          <w:ilvl w:val="0"/>
          <w:numId w:val="13"/>
        </w:numPr>
        <w:ind w:left="714" w:hanging="357"/>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Postulados Básicos</w:t>
      </w:r>
    </w:p>
    <w:p w14:paraId="0B8E65B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197D153E" w14:textId="77777777" w:rsidR="00E56EF6" w:rsidRPr="00FD2DE6" w:rsidRDefault="00E56EF6" w:rsidP="00B0059B">
      <w:pPr>
        <w:tabs>
          <w:tab w:val="left" w:pos="7260"/>
        </w:tabs>
        <w:jc w:val="both"/>
        <w:rPr>
          <w:rFonts w:ascii="Montserrat" w:eastAsia="Times New Roman" w:hAnsi="Montserrat" w:cs="Arial"/>
        </w:rPr>
      </w:pPr>
    </w:p>
    <w:p w14:paraId="77E8E4C6" w14:textId="77777777" w:rsidR="00B0059B"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 continuación, se enlistan los Postulados Básicos de Contabilidad Gubernamental, los cuales deben ser aplicados por los entes públicos de forma tal, que la información que proporcionen sea oportuna, confiable y comparable para la toma de decisiones:</w:t>
      </w:r>
    </w:p>
    <w:p w14:paraId="544A1DE7" w14:textId="77777777" w:rsidR="00DA66C5" w:rsidRPr="00FD2DE6" w:rsidRDefault="00DA66C5" w:rsidP="00B0059B">
      <w:pPr>
        <w:tabs>
          <w:tab w:val="left" w:pos="7260"/>
        </w:tabs>
        <w:jc w:val="both"/>
        <w:rPr>
          <w:rFonts w:ascii="Montserrat" w:eastAsia="Times New Roman" w:hAnsi="Montserrat" w:cs="Arial"/>
        </w:rPr>
      </w:pPr>
    </w:p>
    <w:p w14:paraId="3C9D7199" w14:textId="77777777" w:rsidR="00B0059B" w:rsidRPr="00FD2DE6" w:rsidRDefault="00B0059B" w:rsidP="00B0059B">
      <w:pPr>
        <w:pStyle w:val="Prrafodelista"/>
        <w:tabs>
          <w:tab w:val="left" w:pos="7260"/>
        </w:tabs>
        <w:jc w:val="both"/>
        <w:rPr>
          <w:rFonts w:ascii="Montserrat" w:eastAsia="Times New Roman" w:hAnsi="Montserrat" w:cs="Arial"/>
          <w:sz w:val="24"/>
          <w:szCs w:val="24"/>
        </w:rPr>
      </w:pPr>
    </w:p>
    <w:p w14:paraId="7F1BC32F"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lastRenderedPageBreak/>
        <w:t>Sustancia Económica</w:t>
      </w:r>
    </w:p>
    <w:p w14:paraId="671BE2A6"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Entes Públicos</w:t>
      </w:r>
    </w:p>
    <w:p w14:paraId="33D2EED2"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Existencia Permanente</w:t>
      </w:r>
    </w:p>
    <w:p w14:paraId="3E20B313"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Revelación Suficiente</w:t>
      </w:r>
    </w:p>
    <w:p w14:paraId="0782B001"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Importancia Relativa</w:t>
      </w:r>
    </w:p>
    <w:p w14:paraId="3BA6D082"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Registro e Integración Presupuestaria</w:t>
      </w:r>
      <w:r w:rsidRPr="00FD2DE6">
        <w:rPr>
          <w:rFonts w:ascii="Montserrat" w:eastAsia="Times New Roman" w:hAnsi="Montserrat" w:cs="Arial"/>
          <w:sz w:val="24"/>
          <w:szCs w:val="24"/>
        </w:rPr>
        <w:tab/>
      </w:r>
    </w:p>
    <w:p w14:paraId="0999E345"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Consolidación de la Información Financiera</w:t>
      </w:r>
    </w:p>
    <w:p w14:paraId="6FB091F3"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Devengo Contable</w:t>
      </w:r>
    </w:p>
    <w:p w14:paraId="63DC06D8"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Valuación</w:t>
      </w:r>
    </w:p>
    <w:p w14:paraId="0AFF7825"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Dualidad Económica</w:t>
      </w:r>
    </w:p>
    <w:p w14:paraId="05B0D798"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Consistencia</w:t>
      </w:r>
    </w:p>
    <w:p w14:paraId="6C4BA5E0" w14:textId="77777777" w:rsidR="00B0059B" w:rsidRPr="00FD2DE6" w:rsidRDefault="00B0059B" w:rsidP="00B0059B">
      <w:pPr>
        <w:pStyle w:val="Prrafodelista"/>
        <w:tabs>
          <w:tab w:val="left" w:pos="7260"/>
        </w:tabs>
        <w:ind w:left="993"/>
        <w:jc w:val="both"/>
        <w:rPr>
          <w:rFonts w:ascii="Montserrat" w:eastAsia="Times New Roman" w:hAnsi="Montserrat" w:cs="Arial"/>
          <w:sz w:val="24"/>
          <w:szCs w:val="24"/>
        </w:rPr>
      </w:pPr>
    </w:p>
    <w:p w14:paraId="2D278367" w14:textId="77777777"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Normatividad supletoria:</w:t>
      </w:r>
    </w:p>
    <w:p w14:paraId="5FE8D82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Se informa que, para la emisión de los Estados Financieros, no se ha recurrido a normatividad supletoria.</w:t>
      </w:r>
    </w:p>
    <w:p w14:paraId="02B9A39F" w14:textId="77777777" w:rsidR="00B0059B" w:rsidRPr="00FD2DE6" w:rsidRDefault="00B0059B" w:rsidP="00B0059B">
      <w:pPr>
        <w:tabs>
          <w:tab w:val="left" w:pos="7260"/>
        </w:tabs>
        <w:jc w:val="both"/>
        <w:rPr>
          <w:rFonts w:ascii="Montserrat" w:eastAsia="Times New Roman" w:hAnsi="Montserrat" w:cs="Arial"/>
        </w:rPr>
      </w:pPr>
    </w:p>
    <w:p w14:paraId="26C6AE81" w14:textId="49E3A1AD"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Entidades que por primera vez estén implementando la base devengad</w:t>
      </w:r>
      <w:r w:rsidR="0099356A" w:rsidRPr="00FD2DE6">
        <w:rPr>
          <w:rFonts w:ascii="Montserrat" w:eastAsia="Times New Roman" w:hAnsi="Montserrat" w:cs="Arial"/>
          <w:sz w:val="24"/>
          <w:szCs w:val="24"/>
          <w:lang w:val="es-ES" w:eastAsia="es-MX"/>
        </w:rPr>
        <w:t>o</w:t>
      </w:r>
      <w:r w:rsidRPr="00FD2DE6">
        <w:rPr>
          <w:rFonts w:ascii="Montserrat" w:eastAsia="Times New Roman" w:hAnsi="Montserrat" w:cs="Arial"/>
          <w:sz w:val="24"/>
          <w:szCs w:val="24"/>
          <w:lang w:val="es-ES" w:eastAsia="es-MX"/>
        </w:rPr>
        <w:t>:</w:t>
      </w:r>
    </w:p>
    <w:p w14:paraId="2F2156F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del Estado realizó la implementación de la base del ingreso y egreso devengado en el ejercicio fiscal 2012, por lo que no se encuentra en el supuesto citado en el presente inciso.</w:t>
      </w:r>
    </w:p>
    <w:p w14:paraId="2D132DBC" w14:textId="77777777" w:rsidR="00B0059B" w:rsidRPr="00FD2DE6" w:rsidRDefault="00B0059B" w:rsidP="00B0059B">
      <w:pPr>
        <w:tabs>
          <w:tab w:val="left" w:pos="7260"/>
        </w:tabs>
        <w:jc w:val="both"/>
        <w:rPr>
          <w:rFonts w:ascii="Montserrat" w:eastAsia="Times New Roman" w:hAnsi="Montserrat" w:cs="Arial"/>
        </w:rPr>
      </w:pPr>
    </w:p>
    <w:p w14:paraId="53CE4882" w14:textId="77777777" w:rsidR="00B0059B" w:rsidRPr="00FD2DE6" w:rsidRDefault="00B0059B" w:rsidP="00031666">
      <w:pPr>
        <w:pStyle w:val="Prrafodelista"/>
        <w:widowControl w:val="0"/>
        <w:numPr>
          <w:ilvl w:val="0"/>
          <w:numId w:val="37"/>
        </w:numPr>
        <w:ind w:left="426" w:hanging="426"/>
        <w:jc w:val="both"/>
        <w:rPr>
          <w:rFonts w:ascii="Montserrat" w:hAnsi="Montserrat"/>
          <w:b/>
          <w:sz w:val="24"/>
          <w:szCs w:val="24"/>
        </w:rPr>
      </w:pPr>
      <w:r w:rsidRPr="00FD2DE6">
        <w:rPr>
          <w:rFonts w:ascii="Montserrat" w:hAnsi="Montserrat"/>
          <w:b/>
          <w:sz w:val="24"/>
          <w:szCs w:val="24"/>
        </w:rPr>
        <w:t>Políticas de Contabilidad Significativas.</w:t>
      </w:r>
    </w:p>
    <w:p w14:paraId="2BC07A72" w14:textId="0705DE51" w:rsidR="00B0059B" w:rsidRPr="00FD2DE6" w:rsidRDefault="00B0059B" w:rsidP="00B0059B">
      <w:pPr>
        <w:tabs>
          <w:tab w:val="left" w:pos="7260"/>
        </w:tabs>
        <w:jc w:val="both"/>
        <w:rPr>
          <w:rFonts w:ascii="Montserrat" w:eastAsia="Times New Roman" w:hAnsi="Montserrat" w:cs="Arial"/>
        </w:rPr>
      </w:pPr>
      <w:r w:rsidRPr="00CE204A">
        <w:rPr>
          <w:rFonts w:ascii="Montserrat" w:eastAsia="Times New Roman" w:hAnsi="Montserrat" w:cs="Arial"/>
        </w:rPr>
        <w:t>El Estados de Situación Financiera al 3</w:t>
      </w:r>
      <w:r w:rsidR="00246EA4">
        <w:rPr>
          <w:rFonts w:ascii="Montserrat" w:eastAsia="Times New Roman" w:hAnsi="Montserrat" w:cs="Arial"/>
        </w:rPr>
        <w:t>1</w:t>
      </w:r>
      <w:r w:rsidRPr="00CE204A">
        <w:rPr>
          <w:rFonts w:ascii="Montserrat" w:eastAsia="Times New Roman" w:hAnsi="Montserrat" w:cs="Arial"/>
        </w:rPr>
        <w:t xml:space="preserve"> de </w:t>
      </w:r>
      <w:r w:rsidR="00246EA4">
        <w:rPr>
          <w:rFonts w:ascii="Montserrat" w:eastAsia="Times New Roman" w:hAnsi="Montserrat" w:cs="Arial"/>
        </w:rPr>
        <w:t>diciembre</w:t>
      </w:r>
      <w:r w:rsidRPr="00CE204A">
        <w:rPr>
          <w:rFonts w:ascii="Montserrat" w:eastAsia="Times New Roman" w:hAnsi="Montserrat" w:cs="Arial"/>
        </w:rPr>
        <w:t xml:space="preserve"> de 202</w:t>
      </w:r>
      <w:r w:rsidR="00D91901" w:rsidRPr="00CE204A">
        <w:rPr>
          <w:rFonts w:ascii="Montserrat" w:eastAsia="Times New Roman" w:hAnsi="Montserrat" w:cs="Arial"/>
        </w:rPr>
        <w:t>4</w:t>
      </w:r>
      <w:r w:rsidRPr="00CE204A">
        <w:rPr>
          <w:rFonts w:ascii="Montserrat" w:eastAsia="Times New Roman" w:hAnsi="Montserrat" w:cs="Arial"/>
        </w:rPr>
        <w:t xml:space="preserve">, el Estado de Actividades, el Estado de Variaciones en la Hacienda Pública y el Estado de Flujo de Efectivo, correspondientes al periodo del 01 de enero al </w:t>
      </w:r>
      <w:r w:rsidR="00246EA4" w:rsidRPr="00CE204A">
        <w:rPr>
          <w:rFonts w:ascii="Montserrat" w:eastAsia="Times New Roman" w:hAnsi="Montserrat" w:cs="Arial"/>
        </w:rPr>
        <w:t>3</w:t>
      </w:r>
      <w:r w:rsidR="00246EA4">
        <w:rPr>
          <w:rFonts w:ascii="Montserrat" w:eastAsia="Times New Roman" w:hAnsi="Montserrat" w:cs="Arial"/>
        </w:rPr>
        <w:t>1</w:t>
      </w:r>
      <w:r w:rsidR="00246EA4" w:rsidRPr="00CE204A">
        <w:rPr>
          <w:rFonts w:ascii="Montserrat" w:eastAsia="Times New Roman" w:hAnsi="Montserrat" w:cs="Arial"/>
        </w:rPr>
        <w:t xml:space="preserve"> de </w:t>
      </w:r>
      <w:r w:rsidR="00246EA4">
        <w:rPr>
          <w:rFonts w:ascii="Montserrat" w:eastAsia="Times New Roman" w:hAnsi="Montserrat" w:cs="Arial"/>
        </w:rPr>
        <w:t>diciembre</w:t>
      </w:r>
      <w:r w:rsidRPr="00CE204A">
        <w:rPr>
          <w:rFonts w:ascii="Montserrat" w:eastAsia="Times New Roman" w:hAnsi="Montserrat" w:cs="Arial"/>
        </w:rPr>
        <w:t xml:space="preserve"> de 202</w:t>
      </w:r>
      <w:r w:rsidR="00D91901" w:rsidRPr="00CE204A">
        <w:rPr>
          <w:rFonts w:ascii="Montserrat" w:eastAsia="Times New Roman" w:hAnsi="Montserrat" w:cs="Arial"/>
        </w:rPr>
        <w:t>4</w:t>
      </w:r>
      <w:r w:rsidRPr="00CE204A">
        <w:rPr>
          <w:rFonts w:ascii="Montserrat" w:eastAsia="Times New Roman" w:hAnsi="Montserrat" w:cs="Arial"/>
        </w:rPr>
        <w:t>, fueron preparados y emitidos, con la finalidad de dar cumplimiento a la disposición legal contenida en el artículo 81</w:t>
      </w:r>
      <w:r w:rsidRPr="00FD2DE6">
        <w:rPr>
          <w:rFonts w:ascii="Montserrat" w:eastAsia="Times New Roman" w:hAnsi="Montserrat" w:cs="Arial"/>
        </w:rPr>
        <w:t xml:space="preserve"> de la Ley Estatal de Presupuesto y Responsabilidad Hacendaria.</w:t>
      </w:r>
    </w:p>
    <w:p w14:paraId="12262B61" w14:textId="77777777" w:rsidR="00B0059B" w:rsidRPr="00FD2DE6" w:rsidRDefault="00B0059B" w:rsidP="00B0059B">
      <w:pPr>
        <w:tabs>
          <w:tab w:val="left" w:pos="7260"/>
        </w:tabs>
        <w:jc w:val="both"/>
        <w:rPr>
          <w:rFonts w:ascii="Montserrat" w:eastAsia="Times New Roman" w:hAnsi="Montserrat" w:cs="Arial"/>
        </w:rPr>
      </w:pPr>
    </w:p>
    <w:p w14:paraId="5D5AD20C"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Actualización</w:t>
      </w:r>
    </w:p>
    <w:p w14:paraId="0038FDD7" w14:textId="5247E108"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Conforme a los lineamientos de la NIF B-IO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w:t>
      </w:r>
      <w:r w:rsidRPr="00FD2DE6">
        <w:rPr>
          <w:rFonts w:ascii="Montserrat" w:eastAsia="Times New Roman" w:hAnsi="Montserrat" w:cs="Arial"/>
        </w:rPr>
        <w:lastRenderedPageBreak/>
        <w:t xml:space="preserve">información financiera, situación que las cifras al </w:t>
      </w:r>
      <w:r w:rsidR="00246EA4" w:rsidRPr="00CE204A">
        <w:rPr>
          <w:rFonts w:ascii="Montserrat" w:eastAsia="Times New Roman" w:hAnsi="Montserrat" w:cs="Arial"/>
        </w:rPr>
        <w:t>3</w:t>
      </w:r>
      <w:r w:rsidR="00246EA4">
        <w:rPr>
          <w:rFonts w:ascii="Montserrat" w:eastAsia="Times New Roman" w:hAnsi="Montserrat" w:cs="Arial"/>
        </w:rPr>
        <w:t>1</w:t>
      </w:r>
      <w:r w:rsidR="00246EA4" w:rsidRPr="00CE204A">
        <w:rPr>
          <w:rFonts w:ascii="Montserrat" w:eastAsia="Times New Roman" w:hAnsi="Montserrat" w:cs="Arial"/>
        </w:rPr>
        <w:t xml:space="preserve"> de </w:t>
      </w:r>
      <w:r w:rsidR="00246EA4">
        <w:rPr>
          <w:rFonts w:ascii="Montserrat" w:eastAsia="Times New Roman" w:hAnsi="Montserrat" w:cs="Arial"/>
        </w:rPr>
        <w:t>diciembre</w:t>
      </w:r>
      <w:r w:rsidR="00246EA4" w:rsidRPr="00FD2DE6">
        <w:rPr>
          <w:rFonts w:ascii="Montserrat" w:eastAsia="Times New Roman" w:hAnsi="Montserrat" w:cs="Arial"/>
        </w:rPr>
        <w:t xml:space="preserve"> </w:t>
      </w:r>
      <w:r w:rsidRPr="00FD2DE6">
        <w:rPr>
          <w:rFonts w:ascii="Montserrat" w:eastAsia="Times New Roman" w:hAnsi="Montserrat" w:cs="Arial"/>
        </w:rPr>
        <w:t>de 202</w:t>
      </w:r>
      <w:r w:rsidR="005C0A3B">
        <w:rPr>
          <w:rFonts w:ascii="Montserrat" w:eastAsia="Times New Roman" w:hAnsi="Montserrat" w:cs="Arial"/>
        </w:rPr>
        <w:t>4</w:t>
      </w:r>
      <w:r w:rsidRPr="00FD2DE6">
        <w:rPr>
          <w:rFonts w:ascii="Montserrat" w:eastAsia="Times New Roman" w:hAnsi="Montserrat" w:cs="Arial"/>
        </w:rPr>
        <w:t xml:space="preserve"> de los estados financieros adjuntos, se presentan en pesos históricos.</w:t>
      </w:r>
    </w:p>
    <w:p w14:paraId="256ECEAA" w14:textId="77777777" w:rsidR="00B0059B" w:rsidRPr="00FD2DE6" w:rsidRDefault="00B0059B" w:rsidP="00B0059B">
      <w:pPr>
        <w:tabs>
          <w:tab w:val="left" w:pos="7260"/>
        </w:tabs>
        <w:jc w:val="both"/>
        <w:rPr>
          <w:rFonts w:ascii="Montserrat" w:eastAsia="Times New Roman" w:hAnsi="Montserrat" w:cs="Arial"/>
        </w:rPr>
      </w:pPr>
    </w:p>
    <w:p w14:paraId="26FB1405"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Operaciones en el Extranjero</w:t>
      </w:r>
    </w:p>
    <w:p w14:paraId="093BD7E4" w14:textId="0A88402B"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El Gobierno del Estado de Oaxaca al </w:t>
      </w:r>
      <w:r w:rsidR="00246EA4" w:rsidRPr="00CE204A">
        <w:rPr>
          <w:rFonts w:ascii="Montserrat" w:eastAsia="Times New Roman" w:hAnsi="Montserrat" w:cs="Arial"/>
        </w:rPr>
        <w:t>3</w:t>
      </w:r>
      <w:r w:rsidR="00246EA4">
        <w:rPr>
          <w:rFonts w:ascii="Montserrat" w:eastAsia="Times New Roman" w:hAnsi="Montserrat" w:cs="Arial"/>
        </w:rPr>
        <w:t>1</w:t>
      </w:r>
      <w:r w:rsidR="00246EA4" w:rsidRPr="00CE204A">
        <w:rPr>
          <w:rFonts w:ascii="Montserrat" w:eastAsia="Times New Roman" w:hAnsi="Montserrat" w:cs="Arial"/>
        </w:rPr>
        <w:t xml:space="preserve"> de </w:t>
      </w:r>
      <w:r w:rsidR="00246EA4">
        <w:rPr>
          <w:rFonts w:ascii="Montserrat" w:eastAsia="Times New Roman" w:hAnsi="Montserrat" w:cs="Arial"/>
        </w:rPr>
        <w:t>diciembre</w:t>
      </w:r>
      <w:r w:rsidR="00246EA4" w:rsidRPr="00FD2DE6">
        <w:rPr>
          <w:rFonts w:ascii="Montserrat" w:eastAsia="Times New Roman" w:hAnsi="Montserrat" w:cs="Arial"/>
        </w:rPr>
        <w:t xml:space="preserve"> </w:t>
      </w:r>
      <w:r w:rsidR="00E56EF6" w:rsidRPr="00FD2DE6">
        <w:rPr>
          <w:rFonts w:ascii="Montserrat" w:eastAsia="Times New Roman" w:hAnsi="Montserrat" w:cs="Arial"/>
        </w:rPr>
        <w:t>de 2024</w:t>
      </w:r>
      <w:r w:rsidRPr="00FD2DE6">
        <w:rPr>
          <w:rFonts w:ascii="Montserrat" w:eastAsia="Times New Roman" w:hAnsi="Montserrat" w:cs="Arial"/>
        </w:rPr>
        <w:t xml:space="preserve"> no cuenta con activos o recursos financieros en moneda extranjera.</w:t>
      </w:r>
    </w:p>
    <w:p w14:paraId="57D5F1A9" w14:textId="77777777" w:rsidR="00B0059B" w:rsidRPr="00FD2DE6" w:rsidRDefault="00B0059B" w:rsidP="00B0059B">
      <w:pPr>
        <w:tabs>
          <w:tab w:val="left" w:pos="7260"/>
        </w:tabs>
        <w:jc w:val="both"/>
        <w:rPr>
          <w:rFonts w:ascii="Montserrat" w:eastAsia="Times New Roman" w:hAnsi="Montserrat" w:cs="Arial"/>
        </w:rPr>
      </w:pPr>
    </w:p>
    <w:p w14:paraId="45A4C433"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Costo de Ventas</w:t>
      </w:r>
    </w:p>
    <w:p w14:paraId="5D07B044"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Ningún ente público dependiente del Gobierno del Estado de Oaxaca, realiza operaciones mercantiles en el cual se tenga que establecer el Costo de lo Vendido y en consecuencia la valuación de los inventarios.</w:t>
      </w:r>
    </w:p>
    <w:p w14:paraId="0B021572" w14:textId="77777777" w:rsidR="00B0059B" w:rsidRPr="00FD2DE6" w:rsidRDefault="00B0059B" w:rsidP="00B0059B">
      <w:pPr>
        <w:tabs>
          <w:tab w:val="left" w:pos="7260"/>
        </w:tabs>
        <w:jc w:val="both"/>
        <w:rPr>
          <w:rFonts w:ascii="Montserrat" w:eastAsia="Times New Roman" w:hAnsi="Montserrat" w:cs="Arial"/>
        </w:rPr>
      </w:pPr>
    </w:p>
    <w:p w14:paraId="69FD69BD"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Patrimonio</w:t>
      </w:r>
    </w:p>
    <w:p w14:paraId="39CE61C2"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De conformidad con la Ley General de Contabilidad Gubernamental y los lineamientos emitidos por el Consejo Nacional de Armonización Contable en las reglas de registro y valoración del patrimonio en el punto III en las definiciones del activo, pasivo, hacienda pública/patrimonio, las aportaciones, las donaciones de capital, los ahorros/desahorros acumulados se expresan a su costo histórico.</w:t>
      </w:r>
    </w:p>
    <w:p w14:paraId="3D89311C" w14:textId="77777777" w:rsidR="00B0059B" w:rsidRPr="00FD2DE6" w:rsidRDefault="00B0059B" w:rsidP="00B0059B">
      <w:pPr>
        <w:tabs>
          <w:tab w:val="left" w:pos="7260"/>
        </w:tabs>
        <w:jc w:val="both"/>
        <w:rPr>
          <w:rFonts w:ascii="Montserrat" w:eastAsia="Times New Roman" w:hAnsi="Montserrat" w:cs="Arial"/>
        </w:rPr>
      </w:pPr>
    </w:p>
    <w:p w14:paraId="532DCCA6" w14:textId="77777777" w:rsidR="00B0059B" w:rsidRPr="00FD2DE6" w:rsidRDefault="00B0059B" w:rsidP="00D55BB4">
      <w:pPr>
        <w:pStyle w:val="Prrafodelista"/>
        <w:keepNext/>
        <w:widowControl w:val="0"/>
        <w:numPr>
          <w:ilvl w:val="0"/>
          <w:numId w:val="14"/>
        </w:numPr>
        <w:ind w:left="714" w:hanging="357"/>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Beneficios a Empleados</w:t>
      </w:r>
    </w:p>
    <w:p w14:paraId="1F10CF1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pagos basados en antigüedad a que puedan tener derecho los empleados en caso de retiro voluntario, separación o muerte de acuerdo con las condiciones generales de trabajo se registran como egresos en el año que se vuelven exigibles y se pagan.</w:t>
      </w:r>
    </w:p>
    <w:p w14:paraId="62E5E745" w14:textId="77777777" w:rsidR="00B0059B" w:rsidRPr="00FD2DE6" w:rsidRDefault="00B0059B" w:rsidP="00B0059B">
      <w:pPr>
        <w:tabs>
          <w:tab w:val="left" w:pos="7260"/>
        </w:tabs>
        <w:jc w:val="both"/>
        <w:rPr>
          <w:rFonts w:ascii="Montserrat" w:eastAsia="Times New Roman" w:hAnsi="Montserrat" w:cs="Arial"/>
        </w:rPr>
      </w:pPr>
    </w:p>
    <w:p w14:paraId="28E61F34"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Por Ley las obligaciones por jubilaciones están a cargo de un organismo descentralizado denominado Oficina de Pensiones del Estado de Oaxaca.</w:t>
      </w:r>
    </w:p>
    <w:p w14:paraId="1F47DF44" w14:textId="77777777" w:rsidR="00B0059B" w:rsidRPr="00FD2DE6" w:rsidRDefault="00B0059B" w:rsidP="00B0059B">
      <w:pPr>
        <w:tabs>
          <w:tab w:val="left" w:pos="7260"/>
        </w:tabs>
        <w:jc w:val="both"/>
        <w:rPr>
          <w:rFonts w:ascii="Montserrat" w:eastAsia="Times New Roman" w:hAnsi="Montserrat" w:cs="Arial"/>
        </w:rPr>
      </w:pPr>
    </w:p>
    <w:p w14:paraId="234CF139"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Provisiones</w:t>
      </w:r>
    </w:p>
    <w:p w14:paraId="59CED00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No se tienen identificados conceptos o hechos de los cuales sea necesario el registro de provisiones.</w:t>
      </w:r>
    </w:p>
    <w:p w14:paraId="6E107356" w14:textId="77777777" w:rsidR="00B0059B" w:rsidRPr="00FD2DE6" w:rsidRDefault="00B0059B" w:rsidP="00B0059B">
      <w:pPr>
        <w:tabs>
          <w:tab w:val="left" w:pos="7260"/>
        </w:tabs>
        <w:jc w:val="both"/>
        <w:rPr>
          <w:rFonts w:ascii="Montserrat" w:eastAsia="Times New Roman" w:hAnsi="Montserrat" w:cs="Arial"/>
        </w:rPr>
      </w:pPr>
    </w:p>
    <w:p w14:paraId="0825AAAC"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Reservas</w:t>
      </w:r>
    </w:p>
    <w:p w14:paraId="281148D9" w14:textId="18CD229E" w:rsidR="0099356A"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No se tienen identificados conceptos o hechos de los cuales sea necesario el registro de reservas.</w:t>
      </w:r>
    </w:p>
    <w:p w14:paraId="4B9A5067" w14:textId="77777777" w:rsidR="005C0A3B" w:rsidRPr="00FD2DE6" w:rsidRDefault="005C0A3B" w:rsidP="00B0059B">
      <w:pPr>
        <w:tabs>
          <w:tab w:val="left" w:pos="7260"/>
        </w:tabs>
        <w:jc w:val="both"/>
        <w:rPr>
          <w:rFonts w:ascii="Montserrat" w:eastAsia="Times New Roman" w:hAnsi="Montserrat" w:cs="Arial"/>
        </w:rPr>
      </w:pPr>
    </w:p>
    <w:p w14:paraId="267A6438"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Cambio en Políticas Contables</w:t>
      </w:r>
    </w:p>
    <w:p w14:paraId="40637A4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No existieron cambios en políticas contables que generaran un efecto relevante en la información financiera.</w:t>
      </w:r>
    </w:p>
    <w:p w14:paraId="4356F000" w14:textId="77777777" w:rsidR="00B0059B" w:rsidRPr="00FD2DE6" w:rsidRDefault="00B0059B" w:rsidP="00B0059B">
      <w:pPr>
        <w:tabs>
          <w:tab w:val="left" w:pos="7260"/>
        </w:tabs>
        <w:jc w:val="both"/>
        <w:rPr>
          <w:rFonts w:ascii="Montserrat" w:eastAsia="Times New Roman" w:hAnsi="Montserrat" w:cs="Arial"/>
        </w:rPr>
      </w:pPr>
    </w:p>
    <w:p w14:paraId="794213A7"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Reclasificaciones</w:t>
      </w:r>
    </w:p>
    <w:p w14:paraId="76F8DDD5" w14:textId="0A59A406"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En la Información financiera, </w:t>
      </w:r>
      <w:r w:rsidR="00A7045B" w:rsidRPr="00FD2DE6">
        <w:rPr>
          <w:rFonts w:ascii="Montserrat" w:eastAsia="Times New Roman" w:hAnsi="Montserrat" w:cs="Arial"/>
        </w:rPr>
        <w:t>a la fecha del presente trimestre,</w:t>
      </w:r>
      <w:r w:rsidRPr="00FD2DE6">
        <w:rPr>
          <w:rFonts w:ascii="Montserrat" w:eastAsia="Times New Roman" w:hAnsi="Montserrat" w:cs="Arial"/>
        </w:rPr>
        <w:t xml:space="preserve"> no tienen registros de movimientos entre cuentas por efectos de cambios en los tipos de operaciones.</w:t>
      </w:r>
    </w:p>
    <w:p w14:paraId="4463316F" w14:textId="77777777" w:rsidR="00B0059B" w:rsidRPr="00FD2DE6" w:rsidRDefault="00B0059B" w:rsidP="00B0059B">
      <w:pPr>
        <w:tabs>
          <w:tab w:val="left" w:pos="7260"/>
        </w:tabs>
        <w:jc w:val="both"/>
        <w:rPr>
          <w:rFonts w:ascii="Montserrat" w:eastAsia="Times New Roman" w:hAnsi="Montserrat" w:cs="Arial"/>
        </w:rPr>
      </w:pPr>
    </w:p>
    <w:p w14:paraId="2C6C4F4F"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Depuración y cancelación de saldos.</w:t>
      </w:r>
    </w:p>
    <w:p w14:paraId="522B5753" w14:textId="771489B4" w:rsidR="00B0059B" w:rsidRPr="00FD2DE6" w:rsidRDefault="00A7045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Durante el 2024 no </w:t>
      </w:r>
      <w:r w:rsidR="00B0059B" w:rsidRPr="00FD2DE6">
        <w:rPr>
          <w:rFonts w:ascii="Montserrat" w:eastAsia="Times New Roman" w:hAnsi="Montserrat" w:cs="Arial"/>
        </w:rPr>
        <w:t>se</w:t>
      </w:r>
      <w:r w:rsidRPr="00FD2DE6">
        <w:rPr>
          <w:rFonts w:ascii="Montserrat" w:eastAsia="Times New Roman" w:hAnsi="Montserrat" w:cs="Arial"/>
        </w:rPr>
        <w:t xml:space="preserve"> han realizado</w:t>
      </w:r>
      <w:r w:rsidR="00B0059B" w:rsidRPr="00FD2DE6">
        <w:rPr>
          <w:rFonts w:ascii="Montserrat" w:eastAsia="Times New Roman" w:hAnsi="Montserrat" w:cs="Arial"/>
        </w:rPr>
        <w:t xml:space="preserve"> depuraciones y cancelación de cuentas contables</w:t>
      </w:r>
      <w:r w:rsidR="00D55BB4">
        <w:rPr>
          <w:rFonts w:ascii="Montserrat" w:eastAsia="Times New Roman" w:hAnsi="Montserrat" w:cs="Arial"/>
        </w:rPr>
        <w:t xml:space="preserve"> significativas.</w:t>
      </w:r>
    </w:p>
    <w:p w14:paraId="63C1EBE2" w14:textId="77777777" w:rsidR="00B0059B" w:rsidRPr="00FD2DE6" w:rsidRDefault="00B0059B" w:rsidP="00B0059B">
      <w:pPr>
        <w:tabs>
          <w:tab w:val="left" w:pos="7260"/>
        </w:tabs>
        <w:jc w:val="both"/>
        <w:rPr>
          <w:rFonts w:ascii="Montserrat" w:eastAsia="Times New Roman" w:hAnsi="Montserrat" w:cs="Arial"/>
        </w:rPr>
      </w:pPr>
    </w:p>
    <w:p w14:paraId="21832A0D" w14:textId="77777777" w:rsidR="00B0059B" w:rsidRPr="00FD2DE6" w:rsidRDefault="00B0059B" w:rsidP="00031666">
      <w:pPr>
        <w:pStyle w:val="Prrafodelista"/>
        <w:widowControl w:val="0"/>
        <w:numPr>
          <w:ilvl w:val="0"/>
          <w:numId w:val="37"/>
        </w:numPr>
        <w:ind w:left="426" w:hanging="426"/>
        <w:jc w:val="both"/>
        <w:rPr>
          <w:rFonts w:ascii="Montserrat" w:hAnsi="Montserrat"/>
          <w:b/>
          <w:sz w:val="24"/>
          <w:szCs w:val="24"/>
        </w:rPr>
      </w:pPr>
      <w:r w:rsidRPr="00FD2DE6">
        <w:rPr>
          <w:rFonts w:ascii="Montserrat" w:hAnsi="Montserrat"/>
          <w:b/>
          <w:sz w:val="24"/>
          <w:szCs w:val="24"/>
        </w:rPr>
        <w:t>Posición en Moneda Extranjera y Protección por Riesgo Cambiario.</w:t>
      </w:r>
    </w:p>
    <w:p w14:paraId="3FF0EC3F" w14:textId="17B944AA"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El Gobierno del Estado de Oaxaca al </w:t>
      </w:r>
      <w:r w:rsidR="008D3094" w:rsidRPr="00CE204A">
        <w:rPr>
          <w:rFonts w:ascii="Montserrat" w:eastAsia="Times New Roman" w:hAnsi="Montserrat" w:cs="Arial"/>
        </w:rPr>
        <w:t>3</w:t>
      </w:r>
      <w:r w:rsidR="008D3094">
        <w:rPr>
          <w:rFonts w:ascii="Montserrat" w:eastAsia="Times New Roman" w:hAnsi="Montserrat" w:cs="Arial"/>
        </w:rPr>
        <w:t>1</w:t>
      </w:r>
      <w:r w:rsidR="008D3094" w:rsidRPr="00CE204A">
        <w:rPr>
          <w:rFonts w:ascii="Montserrat" w:eastAsia="Times New Roman" w:hAnsi="Montserrat" w:cs="Arial"/>
        </w:rPr>
        <w:t xml:space="preserve"> de </w:t>
      </w:r>
      <w:r w:rsidR="008D3094">
        <w:rPr>
          <w:rFonts w:ascii="Montserrat" w:eastAsia="Times New Roman" w:hAnsi="Montserrat" w:cs="Arial"/>
        </w:rPr>
        <w:t>diciembre</w:t>
      </w:r>
      <w:r w:rsidR="008D3094" w:rsidRPr="00FD2DE6">
        <w:rPr>
          <w:rFonts w:ascii="Montserrat" w:eastAsia="Times New Roman" w:hAnsi="Montserrat" w:cs="Arial"/>
        </w:rPr>
        <w:t xml:space="preserve"> </w:t>
      </w:r>
      <w:r w:rsidRPr="00FD2DE6">
        <w:rPr>
          <w:rFonts w:ascii="Montserrat" w:eastAsia="Times New Roman" w:hAnsi="Montserrat" w:cs="Arial"/>
        </w:rPr>
        <w:t>de 202</w:t>
      </w:r>
      <w:r w:rsidR="007F6B67" w:rsidRPr="00FD2DE6">
        <w:rPr>
          <w:rFonts w:ascii="Montserrat" w:eastAsia="Times New Roman" w:hAnsi="Montserrat" w:cs="Arial"/>
        </w:rPr>
        <w:t>4</w:t>
      </w:r>
      <w:r w:rsidRPr="00FD2DE6">
        <w:rPr>
          <w:rFonts w:ascii="Montserrat" w:eastAsia="Times New Roman" w:hAnsi="Montserrat" w:cs="Arial"/>
        </w:rPr>
        <w:t xml:space="preserve"> no cuenta con activos o recursos financieros en moneda extranjera y como consecuencia no se cuenta con protección por riesgo cambiario,</w:t>
      </w:r>
    </w:p>
    <w:p w14:paraId="18A3F738" w14:textId="77777777" w:rsidR="00B0059B" w:rsidRPr="00FD2DE6" w:rsidRDefault="00B0059B" w:rsidP="00B0059B">
      <w:pPr>
        <w:tabs>
          <w:tab w:val="left" w:pos="7260"/>
        </w:tabs>
        <w:jc w:val="both"/>
        <w:rPr>
          <w:rFonts w:ascii="Montserrat" w:eastAsia="Times New Roman" w:hAnsi="Montserrat" w:cs="Arial"/>
        </w:rPr>
      </w:pPr>
    </w:p>
    <w:p w14:paraId="654FDA03" w14:textId="77777777" w:rsidR="00B0059B" w:rsidRPr="00FD2DE6" w:rsidRDefault="00B0059B" w:rsidP="00031666">
      <w:pPr>
        <w:pStyle w:val="Prrafodelista"/>
        <w:widowControl w:val="0"/>
        <w:numPr>
          <w:ilvl w:val="0"/>
          <w:numId w:val="37"/>
        </w:numPr>
        <w:ind w:left="426" w:hanging="426"/>
        <w:jc w:val="both"/>
        <w:rPr>
          <w:rFonts w:ascii="Montserrat" w:hAnsi="Montserrat"/>
          <w:b/>
          <w:sz w:val="24"/>
          <w:szCs w:val="24"/>
        </w:rPr>
      </w:pPr>
      <w:r w:rsidRPr="00FD2DE6">
        <w:rPr>
          <w:rFonts w:ascii="Montserrat" w:hAnsi="Montserrat"/>
          <w:b/>
          <w:sz w:val="24"/>
          <w:szCs w:val="24"/>
        </w:rPr>
        <w:t>Reporte Analítico del Activo</w:t>
      </w:r>
    </w:p>
    <w:p w14:paraId="436B878C" w14:textId="77777777" w:rsidR="00B0059B" w:rsidRPr="00FD2DE6" w:rsidRDefault="00B0059B" w:rsidP="00B0059B">
      <w:pPr>
        <w:pStyle w:val="Prrafodelista"/>
        <w:widowControl w:val="0"/>
        <w:ind w:left="426"/>
        <w:jc w:val="both"/>
        <w:rPr>
          <w:rFonts w:ascii="Montserrat" w:hAnsi="Montserrat"/>
          <w:b/>
          <w:sz w:val="24"/>
          <w:szCs w:val="24"/>
        </w:rPr>
      </w:pPr>
    </w:p>
    <w:p w14:paraId="0F3BD343"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Vida útil, porcentajes de depreciación y amortización utilizados en los diferentes tipos de activos, o el importe de las pérdidas por deterioro reconocidas</w:t>
      </w:r>
    </w:p>
    <w:p w14:paraId="05247D2C"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registro del Activo se basa en lo estipulado en las Principales Reglas de Registro y Valoración del Patrimonio (Elementos Generales), las Reglas Específicas del Registro y Valoración del Patrimonio y la vida útil se considera de acuerdo con los Parámetros de Estimación de Vida Útil, normatividad emitida por el CONAC, publicados en el Diario Oficial de la Federación los días 08 de agosto de 2013, 27 de diciembre de 2017 y 15 de agosto de 2012 respectivamente, lo que sustenta las cifras reportadas en el Estado Analítico del Activo. Los años de vida útil pueden cambiar en aquellos bienes en que por razones de uso sea menor.</w:t>
      </w:r>
    </w:p>
    <w:p w14:paraId="63E2AD91" w14:textId="77777777" w:rsidR="00B0059B" w:rsidRPr="00FD2DE6" w:rsidRDefault="00B0059B" w:rsidP="00B0059B">
      <w:pPr>
        <w:pStyle w:val="Prrafodelista"/>
        <w:tabs>
          <w:tab w:val="left" w:pos="7260"/>
        </w:tabs>
        <w:ind w:left="567"/>
        <w:jc w:val="both"/>
        <w:rPr>
          <w:rFonts w:ascii="Montserrat" w:eastAsia="Times New Roman" w:hAnsi="Montserrat" w:cs="Arial"/>
          <w:sz w:val="24"/>
          <w:szCs w:val="24"/>
        </w:rPr>
      </w:pPr>
    </w:p>
    <w:p w14:paraId="0A297071"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Cambios en el porcentaje de depreciación y amortización y en el valor de los activos ocasionado por deterioro.</w:t>
      </w:r>
    </w:p>
    <w:p w14:paraId="72CB4D94" w14:textId="77777777" w:rsidR="00B0059B"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lastRenderedPageBreak/>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7E83CD45" w14:textId="77777777" w:rsidR="005C0A3B" w:rsidRDefault="005C0A3B" w:rsidP="00B0059B">
      <w:pPr>
        <w:tabs>
          <w:tab w:val="left" w:pos="7260"/>
        </w:tabs>
        <w:jc w:val="both"/>
        <w:rPr>
          <w:rFonts w:ascii="Montserrat" w:eastAsia="Times New Roman" w:hAnsi="Montserrat" w:cs="Arial"/>
        </w:rPr>
      </w:pPr>
    </w:p>
    <w:p w14:paraId="0286FF44" w14:textId="1473C93D" w:rsidR="005C0A3B" w:rsidRPr="00FD2DE6" w:rsidRDefault="008D3094" w:rsidP="00B0059B">
      <w:pPr>
        <w:tabs>
          <w:tab w:val="left" w:pos="7260"/>
        </w:tabs>
        <w:jc w:val="both"/>
        <w:rPr>
          <w:rFonts w:ascii="Montserrat" w:eastAsia="Times New Roman" w:hAnsi="Montserrat" w:cs="Arial"/>
        </w:rPr>
      </w:pPr>
      <w:r>
        <w:rPr>
          <w:rFonts w:ascii="Montserrat" w:eastAsia="Times New Roman" w:hAnsi="Montserrat" w:cs="Arial"/>
        </w:rPr>
        <w:t xml:space="preserve">Asimismo se informa que </w:t>
      </w:r>
      <w:r w:rsidR="005C0A3B">
        <w:rPr>
          <w:rFonts w:ascii="Montserrat" w:eastAsia="Times New Roman" w:hAnsi="Montserrat" w:cs="Arial"/>
        </w:rPr>
        <w:t xml:space="preserve">al </w:t>
      </w:r>
      <w:r w:rsidRPr="00CE204A">
        <w:rPr>
          <w:rFonts w:ascii="Montserrat" w:eastAsia="Times New Roman" w:hAnsi="Montserrat" w:cs="Arial"/>
        </w:rPr>
        <w:t>3</w:t>
      </w:r>
      <w:r>
        <w:rPr>
          <w:rFonts w:ascii="Montserrat" w:eastAsia="Times New Roman" w:hAnsi="Montserrat" w:cs="Arial"/>
        </w:rPr>
        <w:t>1</w:t>
      </w:r>
      <w:r w:rsidRPr="00CE204A">
        <w:rPr>
          <w:rFonts w:ascii="Montserrat" w:eastAsia="Times New Roman" w:hAnsi="Montserrat" w:cs="Arial"/>
        </w:rPr>
        <w:t xml:space="preserve"> de </w:t>
      </w:r>
      <w:r>
        <w:rPr>
          <w:rFonts w:ascii="Montserrat" w:eastAsia="Times New Roman" w:hAnsi="Montserrat" w:cs="Arial"/>
        </w:rPr>
        <w:t xml:space="preserve">diciembre </w:t>
      </w:r>
      <w:r w:rsidR="005C0A3B">
        <w:rPr>
          <w:rFonts w:ascii="Montserrat" w:eastAsia="Times New Roman" w:hAnsi="Montserrat" w:cs="Arial"/>
        </w:rPr>
        <w:t xml:space="preserve">de 2024 </w:t>
      </w:r>
      <w:r>
        <w:rPr>
          <w:rFonts w:ascii="Montserrat" w:eastAsia="Times New Roman" w:hAnsi="Montserrat" w:cs="Arial"/>
        </w:rPr>
        <w:t xml:space="preserve">se han realizado los registros de las </w:t>
      </w:r>
      <w:r w:rsidR="005C0A3B">
        <w:rPr>
          <w:rFonts w:ascii="Montserrat" w:eastAsia="Times New Roman" w:hAnsi="Montserrat" w:cs="Arial"/>
        </w:rPr>
        <w:t xml:space="preserve">depreciaciones </w:t>
      </w:r>
      <w:r w:rsidR="003E76BA">
        <w:rPr>
          <w:rFonts w:ascii="Montserrat" w:eastAsia="Times New Roman" w:hAnsi="Montserrat" w:cs="Arial"/>
        </w:rPr>
        <w:t xml:space="preserve">de los bienes </w:t>
      </w:r>
      <w:r>
        <w:rPr>
          <w:rFonts w:ascii="Montserrat" w:eastAsia="Times New Roman" w:hAnsi="Montserrat" w:cs="Arial"/>
        </w:rPr>
        <w:t>que, al cierre del tercer trimestre se encontraban pendientes y que correspondían al</w:t>
      </w:r>
      <w:r w:rsidR="003E76BA">
        <w:rPr>
          <w:rFonts w:ascii="Montserrat" w:eastAsia="Times New Roman" w:hAnsi="Montserrat" w:cs="Arial"/>
        </w:rPr>
        <w:t xml:space="preserve"> primer semestre del 2024</w:t>
      </w:r>
      <w:r>
        <w:rPr>
          <w:rFonts w:ascii="Montserrat" w:eastAsia="Times New Roman" w:hAnsi="Montserrat" w:cs="Arial"/>
        </w:rPr>
        <w:t>; también se registraron las depreciaciones correspondientes al segundo semestre del año.</w:t>
      </w:r>
    </w:p>
    <w:p w14:paraId="7C6C1F3F" w14:textId="77777777" w:rsidR="00B0059B" w:rsidRPr="00FD2DE6" w:rsidRDefault="00B0059B" w:rsidP="00B0059B">
      <w:pPr>
        <w:tabs>
          <w:tab w:val="left" w:pos="7260"/>
        </w:tabs>
        <w:jc w:val="both"/>
        <w:rPr>
          <w:rFonts w:ascii="Montserrat" w:eastAsia="Times New Roman" w:hAnsi="Montserrat" w:cs="Arial"/>
        </w:rPr>
      </w:pPr>
    </w:p>
    <w:p w14:paraId="5AF7B716"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Importe de los gastos capitalizados en el ejercicio, tanto financieros como de investigación y desarrollo.</w:t>
      </w:r>
    </w:p>
    <w:p w14:paraId="6C37A2E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En el periodo que se informa no se han realizado registros contables para capitalizar gasto financiero ni de investigación y desarrollo.</w:t>
      </w:r>
    </w:p>
    <w:p w14:paraId="2D72596E" w14:textId="77777777" w:rsidR="00B0059B" w:rsidRPr="00FD2DE6" w:rsidRDefault="00B0059B" w:rsidP="00B0059B">
      <w:pPr>
        <w:tabs>
          <w:tab w:val="left" w:pos="7260"/>
        </w:tabs>
        <w:jc w:val="both"/>
        <w:rPr>
          <w:rFonts w:ascii="Montserrat" w:eastAsia="Times New Roman" w:hAnsi="Montserrat" w:cs="Arial"/>
        </w:rPr>
      </w:pPr>
    </w:p>
    <w:p w14:paraId="16DDAA34"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Riesgos por tipo de cambio o tipo de interés de las inversiones financieras.</w:t>
      </w:r>
    </w:p>
    <w:p w14:paraId="50D74D2E" w14:textId="6D819E78" w:rsidR="00B0059B" w:rsidRPr="00FD2DE6" w:rsidRDefault="00B0059B" w:rsidP="00B0059B">
      <w:pPr>
        <w:tabs>
          <w:tab w:val="left" w:pos="7260"/>
        </w:tabs>
        <w:jc w:val="both"/>
        <w:rPr>
          <w:rFonts w:ascii="Montserrat" w:eastAsia="Times New Roman" w:hAnsi="Montserrat" w:cs="Arial"/>
        </w:rPr>
      </w:pPr>
      <w:r w:rsidRPr="00D55BB4">
        <w:rPr>
          <w:rFonts w:ascii="Montserrat" w:eastAsia="Times New Roman" w:hAnsi="Montserrat" w:cs="Arial"/>
        </w:rPr>
        <w:t xml:space="preserve">Al cierre del ejercicio, la cuenta de Inversiones Financieras a largo plazo presenta un saldo de </w:t>
      </w:r>
      <w:r w:rsidR="001536E6" w:rsidRPr="00D55BB4">
        <w:rPr>
          <w:rFonts w:ascii="Montserrat" w:eastAsia="Times New Roman" w:hAnsi="Montserrat" w:cs="Arial"/>
        </w:rPr>
        <w:t>1</w:t>
      </w:r>
      <w:r w:rsidR="00D71A7E" w:rsidRPr="00D55BB4">
        <w:rPr>
          <w:rFonts w:ascii="Montserrat" w:eastAsia="Times New Roman" w:hAnsi="Montserrat" w:cs="Arial"/>
        </w:rPr>
        <w:t>,</w:t>
      </w:r>
      <w:r w:rsidR="001536E6" w:rsidRPr="00D55BB4">
        <w:rPr>
          <w:rFonts w:ascii="Montserrat" w:eastAsia="Times New Roman" w:hAnsi="Montserrat" w:cs="Arial"/>
        </w:rPr>
        <w:t>956</w:t>
      </w:r>
      <w:r w:rsidRPr="00D55BB4">
        <w:rPr>
          <w:rFonts w:ascii="Montserrat" w:eastAsia="Times New Roman" w:hAnsi="Montserrat" w:cs="Arial"/>
        </w:rPr>
        <w:t xml:space="preserve"> millones de pesos, saldo que se sustenta con el Convenio de Coordinación y Colaboración para la potenciación de los Recursos de Fondo de Aportaciones Múltiples, y se encuentra libre de riesgo en cuanto a la tasa de interés, toda vez que su inversión se rige bajo la normatividad aplicable del Fiduciario y los lineamientos del FAM.</w:t>
      </w:r>
    </w:p>
    <w:p w14:paraId="6EB8B1B4" w14:textId="77777777" w:rsidR="00B0059B" w:rsidRPr="00FD2DE6" w:rsidRDefault="00B0059B" w:rsidP="00B0059B">
      <w:pPr>
        <w:tabs>
          <w:tab w:val="left" w:pos="7260"/>
        </w:tabs>
        <w:jc w:val="both"/>
        <w:rPr>
          <w:rFonts w:ascii="Montserrat" w:eastAsia="Times New Roman" w:hAnsi="Montserrat" w:cs="Arial"/>
        </w:rPr>
      </w:pPr>
    </w:p>
    <w:p w14:paraId="3E8637FB" w14:textId="77777777" w:rsidR="00B0059B" w:rsidRPr="00FD2DE6" w:rsidRDefault="00B0059B" w:rsidP="003E76BA">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Valor en el ejercicio de los bienes construidos por la entidad.</w:t>
      </w:r>
    </w:p>
    <w:p w14:paraId="3E1E801C"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del Gobierno del Estado no realiza obra propia ni construye bienes inmuebles para su propiedad.</w:t>
      </w:r>
    </w:p>
    <w:p w14:paraId="3325898A" w14:textId="77777777" w:rsidR="00B0059B" w:rsidRPr="00FD2DE6" w:rsidRDefault="00B0059B" w:rsidP="00B0059B">
      <w:pPr>
        <w:tabs>
          <w:tab w:val="left" w:pos="7260"/>
        </w:tabs>
        <w:jc w:val="both"/>
        <w:rPr>
          <w:rFonts w:ascii="Montserrat" w:eastAsia="Times New Roman" w:hAnsi="Montserrat" w:cs="Arial"/>
        </w:rPr>
      </w:pPr>
    </w:p>
    <w:p w14:paraId="421A4508"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 xml:space="preserve">Otras circunstancias de carácter significativo que afecten el activo, </w:t>
      </w:r>
      <w:r w:rsidRPr="00FD2DE6">
        <w:rPr>
          <w:rFonts w:ascii="Montserrat" w:eastAsia="Times New Roman" w:hAnsi="Montserrat" w:cs="Arial"/>
          <w:sz w:val="24"/>
          <w:szCs w:val="24"/>
          <w:lang w:val="es-ES" w:eastAsia="es-MX"/>
        </w:rPr>
        <w:lastRenderedPageBreak/>
        <w:t>tales como bienes en garantía, señalados en embargos, litigios, títulos de inversiones entregados en garantías, baja significativa del valor de inversiones financieras, etc.</w:t>
      </w:r>
    </w:p>
    <w:p w14:paraId="04D70BD7" w14:textId="676DE9A9"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 la fecha de los estados financieros, no se identifica alguna circunstancia que afecte el activo.</w:t>
      </w:r>
    </w:p>
    <w:p w14:paraId="48EDF8F8" w14:textId="77777777" w:rsidR="00B0059B" w:rsidRPr="00FD2DE6" w:rsidRDefault="00B0059B" w:rsidP="00B0059B">
      <w:pPr>
        <w:tabs>
          <w:tab w:val="left" w:pos="7260"/>
        </w:tabs>
        <w:jc w:val="both"/>
        <w:rPr>
          <w:rFonts w:ascii="Montserrat" w:eastAsia="Times New Roman" w:hAnsi="Montserrat" w:cs="Arial"/>
        </w:rPr>
      </w:pPr>
    </w:p>
    <w:p w14:paraId="6C750EF8"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Desmantelamiento de activos, procedimientos, implicaciones, efectos contables.</w:t>
      </w:r>
    </w:p>
    <w:p w14:paraId="61CC27DE" w14:textId="6F50EB49" w:rsidR="00B0059B" w:rsidRPr="00FD2DE6" w:rsidRDefault="00D56D92"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Se informa que al </w:t>
      </w:r>
      <w:r w:rsidR="00DC7256">
        <w:rPr>
          <w:rFonts w:ascii="Montserrat" w:eastAsia="Times New Roman" w:hAnsi="Montserrat" w:cs="Arial"/>
        </w:rPr>
        <w:t>31 de diciembre</w:t>
      </w:r>
      <w:r w:rsidR="00B0059B" w:rsidRPr="00FD2DE6">
        <w:rPr>
          <w:rFonts w:ascii="Montserrat" w:eastAsia="Times New Roman" w:hAnsi="Montserrat" w:cs="Arial"/>
        </w:rPr>
        <w:t xml:space="preserve"> de 2024 el Poder Ejecutivo no ha realizado procedimientos para desmantelar activos.</w:t>
      </w:r>
    </w:p>
    <w:p w14:paraId="70225F84" w14:textId="77777777" w:rsidR="00B0059B" w:rsidRPr="00FD2DE6" w:rsidRDefault="00B0059B" w:rsidP="00B0059B">
      <w:pPr>
        <w:tabs>
          <w:tab w:val="left" w:pos="7260"/>
        </w:tabs>
        <w:jc w:val="both"/>
        <w:rPr>
          <w:rFonts w:ascii="Montserrat" w:eastAsia="Times New Roman" w:hAnsi="Montserrat" w:cs="Arial"/>
        </w:rPr>
      </w:pPr>
    </w:p>
    <w:p w14:paraId="71B72C0F"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Administración de activos; planeación con el objetivo de que el ente los utilice de manera más efectiva.</w:t>
      </w:r>
    </w:p>
    <w:p w14:paraId="1B2224E0"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Adicionalmente, se informa de las principales variaciones en el activo, en cuadros comparativos como sigue:</w:t>
      </w:r>
    </w:p>
    <w:p w14:paraId="3FF722E7" w14:textId="77777777" w:rsidR="00EE01B3" w:rsidRPr="00FD2DE6" w:rsidRDefault="00EE01B3" w:rsidP="00B0059B">
      <w:pPr>
        <w:tabs>
          <w:tab w:val="left" w:pos="7260"/>
        </w:tabs>
        <w:jc w:val="both"/>
        <w:rPr>
          <w:rFonts w:ascii="Montserrat" w:eastAsia="Times New Roman" w:hAnsi="Montserrat" w:cs="Arial"/>
        </w:rPr>
      </w:pPr>
    </w:p>
    <w:p w14:paraId="3ABDCF1B" w14:textId="77777777" w:rsidR="00B0059B" w:rsidRPr="00B81758" w:rsidRDefault="00B0059B" w:rsidP="00B81758">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B81758">
        <w:rPr>
          <w:rFonts w:ascii="Montserrat" w:eastAsia="Times New Roman" w:hAnsi="Montserrat" w:cs="Arial"/>
          <w:sz w:val="24"/>
          <w:szCs w:val="24"/>
          <w:lang w:val="es-ES" w:eastAsia="es-MX"/>
        </w:rPr>
        <w:t>Inversiones en valores.</w:t>
      </w:r>
    </w:p>
    <w:tbl>
      <w:tblPr>
        <w:tblW w:w="8920" w:type="dxa"/>
        <w:tblCellMar>
          <w:left w:w="70" w:type="dxa"/>
          <w:right w:w="70" w:type="dxa"/>
        </w:tblCellMar>
        <w:tblLook w:val="04A0" w:firstRow="1" w:lastRow="0" w:firstColumn="1" w:lastColumn="0" w:noHBand="0" w:noVBand="1"/>
      </w:tblPr>
      <w:tblGrid>
        <w:gridCol w:w="1260"/>
        <w:gridCol w:w="2173"/>
        <w:gridCol w:w="1859"/>
        <w:gridCol w:w="1818"/>
        <w:gridCol w:w="1810"/>
      </w:tblGrid>
      <w:tr w:rsidR="00C953B4" w:rsidRPr="00B81758" w14:paraId="5205FD14" w14:textId="77777777" w:rsidTr="00732FA0">
        <w:trPr>
          <w:trHeight w:val="595"/>
        </w:trPr>
        <w:tc>
          <w:tcPr>
            <w:tcW w:w="1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0503115" w14:textId="77777777" w:rsidR="00076F11" w:rsidRPr="000669E4" w:rsidRDefault="00076F11" w:rsidP="00076F11">
            <w:pPr>
              <w:jc w:val="center"/>
              <w:rPr>
                <w:rFonts w:ascii="Montserrat" w:eastAsia="Times New Roman" w:hAnsi="Montserrat" w:cs="Calibri"/>
                <w:b/>
                <w:bCs/>
                <w:color w:val="FFFFFF" w:themeColor="background1"/>
                <w:sz w:val="20"/>
                <w:szCs w:val="20"/>
                <w:lang w:val="es-MX"/>
              </w:rPr>
            </w:pPr>
            <w:r w:rsidRPr="000669E4">
              <w:rPr>
                <w:rFonts w:ascii="Montserrat" w:eastAsia="Times New Roman" w:hAnsi="Montserrat" w:cs="Calibri"/>
                <w:b/>
                <w:bCs/>
                <w:color w:val="FFFFFF" w:themeColor="background1"/>
                <w:sz w:val="20"/>
                <w:szCs w:val="20"/>
                <w:lang w:val="es-MX"/>
              </w:rPr>
              <w:t>Cuenta</w:t>
            </w:r>
          </w:p>
        </w:tc>
        <w:tc>
          <w:tcPr>
            <w:tcW w:w="217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F77AFEC" w14:textId="77777777" w:rsidR="00076F11" w:rsidRPr="000669E4" w:rsidRDefault="00076F11" w:rsidP="00076F11">
            <w:pPr>
              <w:jc w:val="center"/>
              <w:rPr>
                <w:rFonts w:ascii="Montserrat" w:eastAsia="Times New Roman" w:hAnsi="Montserrat" w:cs="Calibri"/>
                <w:b/>
                <w:bCs/>
                <w:color w:val="FFFFFF" w:themeColor="background1"/>
                <w:sz w:val="20"/>
                <w:szCs w:val="20"/>
                <w:lang w:val="es-MX"/>
              </w:rPr>
            </w:pPr>
            <w:r w:rsidRPr="000669E4">
              <w:rPr>
                <w:rFonts w:ascii="Montserrat" w:eastAsia="Times New Roman" w:hAnsi="Montserrat" w:cs="Calibri"/>
                <w:b/>
                <w:bCs/>
                <w:color w:val="FFFFFF" w:themeColor="background1"/>
                <w:sz w:val="20"/>
                <w:szCs w:val="20"/>
                <w:lang w:val="es-MX"/>
              </w:rPr>
              <w:t>Descripción</w:t>
            </w:r>
          </w:p>
        </w:tc>
        <w:tc>
          <w:tcPr>
            <w:tcW w:w="18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DA4BA89" w14:textId="77777777" w:rsidR="00076F11" w:rsidRPr="000669E4" w:rsidRDefault="00076F11" w:rsidP="00076F11">
            <w:pPr>
              <w:jc w:val="center"/>
              <w:rPr>
                <w:rFonts w:ascii="Montserrat" w:eastAsia="Times New Roman" w:hAnsi="Montserrat" w:cs="Calibri"/>
                <w:b/>
                <w:bCs/>
                <w:color w:val="FFFFFF" w:themeColor="background1"/>
                <w:sz w:val="20"/>
                <w:szCs w:val="20"/>
                <w:lang w:val="es-MX"/>
              </w:rPr>
            </w:pPr>
            <w:r w:rsidRPr="000669E4">
              <w:rPr>
                <w:rFonts w:ascii="Montserrat" w:eastAsia="Times New Roman" w:hAnsi="Montserrat" w:cs="Calibri"/>
                <w:b/>
                <w:bCs/>
                <w:color w:val="FFFFFF" w:themeColor="background1"/>
                <w:sz w:val="20"/>
                <w:szCs w:val="20"/>
                <w:lang w:val="es-MX"/>
              </w:rPr>
              <w:t>Saldo al 31 de diciembre de 2023</w:t>
            </w:r>
          </w:p>
        </w:tc>
        <w:tc>
          <w:tcPr>
            <w:tcW w:w="181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39516C0" w14:textId="75F3A603" w:rsidR="00076F11" w:rsidRPr="000669E4" w:rsidRDefault="00076F11" w:rsidP="00076F11">
            <w:pPr>
              <w:jc w:val="center"/>
              <w:rPr>
                <w:rFonts w:ascii="Montserrat" w:eastAsia="Times New Roman" w:hAnsi="Montserrat" w:cs="Calibri"/>
                <w:b/>
                <w:bCs/>
                <w:color w:val="FFFFFF" w:themeColor="background1"/>
                <w:sz w:val="20"/>
                <w:szCs w:val="20"/>
                <w:lang w:val="es-MX"/>
              </w:rPr>
            </w:pPr>
            <w:r w:rsidRPr="000669E4">
              <w:rPr>
                <w:rFonts w:ascii="Montserrat" w:eastAsia="Times New Roman" w:hAnsi="Montserrat" w:cs="Calibri"/>
                <w:b/>
                <w:bCs/>
                <w:color w:val="FFFFFF" w:themeColor="background1"/>
                <w:sz w:val="20"/>
                <w:szCs w:val="20"/>
                <w:lang w:val="es-MX"/>
              </w:rPr>
              <w:t>Saldo al 3</w:t>
            </w:r>
            <w:r w:rsidR="00621D14" w:rsidRPr="000669E4">
              <w:rPr>
                <w:rFonts w:ascii="Montserrat" w:eastAsia="Times New Roman" w:hAnsi="Montserrat" w:cs="Calibri"/>
                <w:b/>
                <w:bCs/>
                <w:color w:val="FFFFFF" w:themeColor="background1"/>
                <w:sz w:val="20"/>
                <w:szCs w:val="20"/>
                <w:lang w:val="es-MX"/>
              </w:rPr>
              <w:t>1</w:t>
            </w:r>
            <w:r w:rsidRPr="000669E4">
              <w:rPr>
                <w:rFonts w:ascii="Montserrat" w:eastAsia="Times New Roman" w:hAnsi="Montserrat" w:cs="Calibri"/>
                <w:b/>
                <w:bCs/>
                <w:color w:val="FFFFFF" w:themeColor="background1"/>
                <w:sz w:val="20"/>
                <w:szCs w:val="20"/>
                <w:lang w:val="es-MX"/>
              </w:rPr>
              <w:t xml:space="preserve"> de </w:t>
            </w:r>
            <w:r w:rsidR="00621D14" w:rsidRPr="000669E4">
              <w:rPr>
                <w:rFonts w:ascii="Montserrat" w:eastAsia="Times New Roman" w:hAnsi="Montserrat" w:cs="Calibri"/>
                <w:b/>
                <w:bCs/>
                <w:color w:val="FFFFFF" w:themeColor="background1"/>
                <w:sz w:val="20"/>
                <w:szCs w:val="20"/>
                <w:lang w:val="es-MX"/>
              </w:rPr>
              <w:t>diciembre</w:t>
            </w:r>
            <w:r w:rsidRPr="000669E4">
              <w:rPr>
                <w:rFonts w:ascii="Montserrat" w:eastAsia="Times New Roman" w:hAnsi="Montserrat" w:cs="Calibri"/>
                <w:b/>
                <w:bCs/>
                <w:color w:val="FFFFFF" w:themeColor="background1"/>
                <w:sz w:val="20"/>
                <w:szCs w:val="20"/>
                <w:lang w:val="es-MX"/>
              </w:rPr>
              <w:t xml:space="preserve"> de 2024</w:t>
            </w:r>
          </w:p>
        </w:tc>
        <w:tc>
          <w:tcPr>
            <w:tcW w:w="18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9969CB0" w14:textId="77777777" w:rsidR="00076F11" w:rsidRPr="000669E4" w:rsidRDefault="00076F11" w:rsidP="00076F11">
            <w:pPr>
              <w:jc w:val="center"/>
              <w:rPr>
                <w:rFonts w:ascii="Montserrat" w:eastAsia="Times New Roman" w:hAnsi="Montserrat" w:cs="Calibri"/>
                <w:b/>
                <w:bCs/>
                <w:color w:val="FFFFFF" w:themeColor="background1"/>
                <w:sz w:val="20"/>
                <w:szCs w:val="20"/>
                <w:lang w:val="es-MX"/>
              </w:rPr>
            </w:pPr>
            <w:r w:rsidRPr="000669E4">
              <w:rPr>
                <w:rFonts w:ascii="Montserrat" w:eastAsia="Times New Roman" w:hAnsi="Montserrat" w:cs="Calibri"/>
                <w:b/>
                <w:bCs/>
                <w:color w:val="FFFFFF" w:themeColor="background1"/>
                <w:sz w:val="20"/>
                <w:szCs w:val="20"/>
                <w:lang w:val="es-MX"/>
              </w:rPr>
              <w:t>Diferencia</w:t>
            </w:r>
          </w:p>
        </w:tc>
      </w:tr>
      <w:tr w:rsidR="00621D14" w:rsidRPr="00B81758" w14:paraId="73B098B6"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4ACACCBE"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1.1.1.4.1</w:t>
            </w:r>
          </w:p>
        </w:tc>
        <w:tc>
          <w:tcPr>
            <w:tcW w:w="2173" w:type="dxa"/>
            <w:tcBorders>
              <w:top w:val="nil"/>
              <w:left w:val="nil"/>
              <w:bottom w:val="single" w:sz="4" w:space="0" w:color="auto"/>
              <w:right w:val="single" w:sz="4" w:space="0" w:color="auto"/>
            </w:tcBorders>
            <w:shd w:val="clear" w:color="auto" w:fill="auto"/>
            <w:vAlign w:val="center"/>
            <w:hideMark/>
          </w:tcPr>
          <w:p w14:paraId="611D851D"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INVERSIONES EN MONEDA NACIONAL CP</w:t>
            </w:r>
          </w:p>
        </w:tc>
        <w:tc>
          <w:tcPr>
            <w:tcW w:w="1859" w:type="dxa"/>
            <w:tcBorders>
              <w:top w:val="nil"/>
              <w:left w:val="nil"/>
              <w:bottom w:val="single" w:sz="4" w:space="0" w:color="auto"/>
              <w:right w:val="single" w:sz="4" w:space="0" w:color="auto"/>
            </w:tcBorders>
            <w:shd w:val="clear" w:color="auto" w:fill="auto"/>
            <w:vAlign w:val="center"/>
            <w:hideMark/>
          </w:tcPr>
          <w:p w14:paraId="44889F8C"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3,033,899,206.82</w:t>
            </w:r>
          </w:p>
        </w:tc>
        <w:tc>
          <w:tcPr>
            <w:tcW w:w="1818" w:type="dxa"/>
            <w:tcBorders>
              <w:top w:val="nil"/>
              <w:left w:val="nil"/>
              <w:bottom w:val="single" w:sz="4" w:space="0" w:color="auto"/>
              <w:right w:val="single" w:sz="4" w:space="0" w:color="auto"/>
            </w:tcBorders>
            <w:shd w:val="clear" w:color="auto" w:fill="auto"/>
            <w:vAlign w:val="center"/>
            <w:hideMark/>
          </w:tcPr>
          <w:p w14:paraId="485D9AEC" w14:textId="510AF71C"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3,157,286,962.13</w:t>
            </w:r>
          </w:p>
        </w:tc>
        <w:tc>
          <w:tcPr>
            <w:tcW w:w="1810" w:type="dxa"/>
            <w:tcBorders>
              <w:top w:val="nil"/>
              <w:left w:val="nil"/>
              <w:bottom w:val="single" w:sz="4" w:space="0" w:color="auto"/>
              <w:right w:val="single" w:sz="4" w:space="0" w:color="auto"/>
            </w:tcBorders>
            <w:shd w:val="clear" w:color="auto" w:fill="auto"/>
            <w:vAlign w:val="center"/>
            <w:hideMark/>
          </w:tcPr>
          <w:p w14:paraId="4A0D1A23" w14:textId="26934655"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123,387,755.31</w:t>
            </w:r>
          </w:p>
        </w:tc>
      </w:tr>
      <w:tr w:rsidR="00621D14" w:rsidRPr="00B81758" w14:paraId="715CA4AC"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58DF82D0"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1.1.1.4.1.001</w:t>
            </w:r>
          </w:p>
        </w:tc>
        <w:tc>
          <w:tcPr>
            <w:tcW w:w="2173" w:type="dxa"/>
            <w:tcBorders>
              <w:top w:val="nil"/>
              <w:left w:val="nil"/>
              <w:bottom w:val="single" w:sz="4" w:space="0" w:color="auto"/>
              <w:right w:val="single" w:sz="4" w:space="0" w:color="auto"/>
            </w:tcBorders>
            <w:shd w:val="clear" w:color="auto" w:fill="auto"/>
            <w:vAlign w:val="bottom"/>
            <w:hideMark/>
          </w:tcPr>
          <w:p w14:paraId="11AA59C8"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BANAMEX</w:t>
            </w:r>
          </w:p>
        </w:tc>
        <w:tc>
          <w:tcPr>
            <w:tcW w:w="1859" w:type="dxa"/>
            <w:tcBorders>
              <w:top w:val="nil"/>
              <w:left w:val="nil"/>
              <w:bottom w:val="single" w:sz="4" w:space="0" w:color="auto"/>
              <w:right w:val="single" w:sz="4" w:space="0" w:color="auto"/>
            </w:tcBorders>
            <w:shd w:val="clear" w:color="auto" w:fill="auto"/>
            <w:vAlign w:val="bottom"/>
            <w:hideMark/>
          </w:tcPr>
          <w:p w14:paraId="4F42F691" w14:textId="77777777"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382,199,764.94</w:t>
            </w:r>
          </w:p>
        </w:tc>
        <w:tc>
          <w:tcPr>
            <w:tcW w:w="1818" w:type="dxa"/>
            <w:tcBorders>
              <w:top w:val="nil"/>
              <w:left w:val="nil"/>
              <w:bottom w:val="single" w:sz="4" w:space="0" w:color="auto"/>
              <w:right w:val="single" w:sz="4" w:space="0" w:color="auto"/>
            </w:tcBorders>
            <w:shd w:val="clear" w:color="auto" w:fill="auto"/>
            <w:vAlign w:val="center"/>
            <w:hideMark/>
          </w:tcPr>
          <w:p w14:paraId="56F9F942" w14:textId="79C71DBA"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362,771,676.26</w:t>
            </w:r>
          </w:p>
        </w:tc>
        <w:tc>
          <w:tcPr>
            <w:tcW w:w="1810" w:type="dxa"/>
            <w:tcBorders>
              <w:top w:val="nil"/>
              <w:left w:val="nil"/>
              <w:bottom w:val="single" w:sz="4" w:space="0" w:color="auto"/>
              <w:right w:val="single" w:sz="4" w:space="0" w:color="auto"/>
            </w:tcBorders>
            <w:shd w:val="clear" w:color="auto" w:fill="auto"/>
            <w:vAlign w:val="center"/>
            <w:hideMark/>
          </w:tcPr>
          <w:p w14:paraId="4EDC37FC" w14:textId="7A3C4439"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-19,428,088.68</w:t>
            </w:r>
          </w:p>
        </w:tc>
      </w:tr>
      <w:tr w:rsidR="00621D14" w:rsidRPr="00B81758" w14:paraId="4C36F5C3"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0A264A6E"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1.1.1.4.1.002</w:t>
            </w:r>
          </w:p>
        </w:tc>
        <w:tc>
          <w:tcPr>
            <w:tcW w:w="2173" w:type="dxa"/>
            <w:tcBorders>
              <w:top w:val="nil"/>
              <w:left w:val="nil"/>
              <w:bottom w:val="single" w:sz="4" w:space="0" w:color="auto"/>
              <w:right w:val="single" w:sz="4" w:space="0" w:color="auto"/>
            </w:tcBorders>
            <w:shd w:val="clear" w:color="auto" w:fill="auto"/>
            <w:vAlign w:val="bottom"/>
            <w:hideMark/>
          </w:tcPr>
          <w:p w14:paraId="7A021FD2"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BBVA BANCOMER, S.A.</w:t>
            </w:r>
          </w:p>
        </w:tc>
        <w:tc>
          <w:tcPr>
            <w:tcW w:w="1859" w:type="dxa"/>
            <w:tcBorders>
              <w:top w:val="nil"/>
              <w:left w:val="nil"/>
              <w:bottom w:val="single" w:sz="4" w:space="0" w:color="auto"/>
              <w:right w:val="single" w:sz="4" w:space="0" w:color="auto"/>
            </w:tcBorders>
            <w:shd w:val="clear" w:color="auto" w:fill="auto"/>
            <w:vAlign w:val="bottom"/>
            <w:hideMark/>
          </w:tcPr>
          <w:p w14:paraId="3E8BAE87" w14:textId="77777777"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436,524,822.83</w:t>
            </w:r>
          </w:p>
        </w:tc>
        <w:tc>
          <w:tcPr>
            <w:tcW w:w="1818" w:type="dxa"/>
            <w:tcBorders>
              <w:top w:val="nil"/>
              <w:left w:val="nil"/>
              <w:bottom w:val="single" w:sz="4" w:space="0" w:color="auto"/>
              <w:right w:val="single" w:sz="4" w:space="0" w:color="auto"/>
            </w:tcBorders>
            <w:shd w:val="clear" w:color="auto" w:fill="auto"/>
            <w:vAlign w:val="center"/>
            <w:hideMark/>
          </w:tcPr>
          <w:p w14:paraId="0FB358F9" w14:textId="4880A0D6"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1,030,158,081.20</w:t>
            </w:r>
          </w:p>
        </w:tc>
        <w:tc>
          <w:tcPr>
            <w:tcW w:w="1810" w:type="dxa"/>
            <w:tcBorders>
              <w:top w:val="nil"/>
              <w:left w:val="nil"/>
              <w:bottom w:val="single" w:sz="4" w:space="0" w:color="auto"/>
              <w:right w:val="single" w:sz="4" w:space="0" w:color="auto"/>
            </w:tcBorders>
            <w:shd w:val="clear" w:color="auto" w:fill="auto"/>
            <w:vAlign w:val="center"/>
            <w:hideMark/>
          </w:tcPr>
          <w:p w14:paraId="6E68F975" w14:textId="59B92EBC"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593,633,258.37</w:t>
            </w:r>
          </w:p>
        </w:tc>
      </w:tr>
      <w:tr w:rsidR="00621D14" w:rsidRPr="00B81758" w14:paraId="1675DB38"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737F2835"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1.1.1.4.1.003</w:t>
            </w:r>
          </w:p>
        </w:tc>
        <w:tc>
          <w:tcPr>
            <w:tcW w:w="2173" w:type="dxa"/>
            <w:tcBorders>
              <w:top w:val="nil"/>
              <w:left w:val="nil"/>
              <w:bottom w:val="single" w:sz="4" w:space="0" w:color="auto"/>
              <w:right w:val="single" w:sz="4" w:space="0" w:color="auto"/>
            </w:tcBorders>
            <w:shd w:val="clear" w:color="auto" w:fill="auto"/>
            <w:vAlign w:val="bottom"/>
            <w:hideMark/>
          </w:tcPr>
          <w:p w14:paraId="70366872"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HSBC</w:t>
            </w:r>
          </w:p>
        </w:tc>
        <w:tc>
          <w:tcPr>
            <w:tcW w:w="1859" w:type="dxa"/>
            <w:tcBorders>
              <w:top w:val="nil"/>
              <w:left w:val="nil"/>
              <w:bottom w:val="single" w:sz="4" w:space="0" w:color="auto"/>
              <w:right w:val="single" w:sz="4" w:space="0" w:color="auto"/>
            </w:tcBorders>
            <w:shd w:val="clear" w:color="auto" w:fill="auto"/>
            <w:vAlign w:val="bottom"/>
            <w:hideMark/>
          </w:tcPr>
          <w:p w14:paraId="7251CC88" w14:textId="77777777"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456,729,441.15</w:t>
            </w:r>
          </w:p>
        </w:tc>
        <w:tc>
          <w:tcPr>
            <w:tcW w:w="1818" w:type="dxa"/>
            <w:tcBorders>
              <w:top w:val="nil"/>
              <w:left w:val="nil"/>
              <w:bottom w:val="single" w:sz="4" w:space="0" w:color="auto"/>
              <w:right w:val="single" w:sz="4" w:space="0" w:color="auto"/>
            </w:tcBorders>
            <w:shd w:val="clear" w:color="auto" w:fill="auto"/>
            <w:vAlign w:val="center"/>
            <w:hideMark/>
          </w:tcPr>
          <w:p w14:paraId="472065A2" w14:textId="66E496C6"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456,815,505.12</w:t>
            </w:r>
          </w:p>
        </w:tc>
        <w:tc>
          <w:tcPr>
            <w:tcW w:w="1810" w:type="dxa"/>
            <w:tcBorders>
              <w:top w:val="nil"/>
              <w:left w:val="nil"/>
              <w:bottom w:val="single" w:sz="4" w:space="0" w:color="auto"/>
              <w:right w:val="single" w:sz="4" w:space="0" w:color="auto"/>
            </w:tcBorders>
            <w:shd w:val="clear" w:color="auto" w:fill="auto"/>
            <w:vAlign w:val="center"/>
            <w:hideMark/>
          </w:tcPr>
          <w:p w14:paraId="40E7C4CE" w14:textId="0A5266BD"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86,063.97</w:t>
            </w:r>
          </w:p>
        </w:tc>
      </w:tr>
      <w:tr w:rsidR="00621D14" w:rsidRPr="00B81758" w14:paraId="79A1D126"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4267B8A7"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1.1.1.4.1.004</w:t>
            </w:r>
          </w:p>
        </w:tc>
        <w:tc>
          <w:tcPr>
            <w:tcW w:w="2173" w:type="dxa"/>
            <w:tcBorders>
              <w:top w:val="nil"/>
              <w:left w:val="nil"/>
              <w:bottom w:val="single" w:sz="4" w:space="0" w:color="auto"/>
              <w:right w:val="single" w:sz="4" w:space="0" w:color="auto"/>
            </w:tcBorders>
            <w:shd w:val="clear" w:color="auto" w:fill="auto"/>
            <w:vAlign w:val="bottom"/>
            <w:hideMark/>
          </w:tcPr>
          <w:p w14:paraId="2023B92F"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SCOTIABANK</w:t>
            </w:r>
          </w:p>
        </w:tc>
        <w:tc>
          <w:tcPr>
            <w:tcW w:w="1859" w:type="dxa"/>
            <w:tcBorders>
              <w:top w:val="nil"/>
              <w:left w:val="nil"/>
              <w:bottom w:val="single" w:sz="4" w:space="0" w:color="auto"/>
              <w:right w:val="single" w:sz="4" w:space="0" w:color="auto"/>
            </w:tcBorders>
            <w:shd w:val="clear" w:color="auto" w:fill="auto"/>
            <w:vAlign w:val="bottom"/>
            <w:hideMark/>
          </w:tcPr>
          <w:p w14:paraId="158403BD" w14:textId="77777777"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880,677,492.19</w:t>
            </w:r>
          </w:p>
        </w:tc>
        <w:tc>
          <w:tcPr>
            <w:tcW w:w="1818" w:type="dxa"/>
            <w:tcBorders>
              <w:top w:val="nil"/>
              <w:left w:val="nil"/>
              <w:bottom w:val="single" w:sz="4" w:space="0" w:color="auto"/>
              <w:right w:val="single" w:sz="4" w:space="0" w:color="auto"/>
            </w:tcBorders>
            <w:shd w:val="clear" w:color="auto" w:fill="auto"/>
            <w:vAlign w:val="center"/>
            <w:hideMark/>
          </w:tcPr>
          <w:p w14:paraId="04901DF7" w14:textId="44DC5153"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387,463,583.40</w:t>
            </w:r>
          </w:p>
        </w:tc>
        <w:tc>
          <w:tcPr>
            <w:tcW w:w="1810" w:type="dxa"/>
            <w:tcBorders>
              <w:top w:val="nil"/>
              <w:left w:val="nil"/>
              <w:bottom w:val="single" w:sz="4" w:space="0" w:color="auto"/>
              <w:right w:val="single" w:sz="4" w:space="0" w:color="auto"/>
            </w:tcBorders>
            <w:shd w:val="clear" w:color="auto" w:fill="auto"/>
            <w:vAlign w:val="center"/>
            <w:hideMark/>
          </w:tcPr>
          <w:p w14:paraId="27DA37F7" w14:textId="17763011"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-493,213,908.79</w:t>
            </w:r>
          </w:p>
        </w:tc>
      </w:tr>
      <w:tr w:rsidR="00621D14" w:rsidRPr="00B81758" w14:paraId="560C5695"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4FE19783"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1.1.1.4.1.005</w:t>
            </w:r>
          </w:p>
        </w:tc>
        <w:tc>
          <w:tcPr>
            <w:tcW w:w="2173" w:type="dxa"/>
            <w:tcBorders>
              <w:top w:val="nil"/>
              <w:left w:val="nil"/>
              <w:bottom w:val="single" w:sz="4" w:space="0" w:color="auto"/>
              <w:right w:val="single" w:sz="4" w:space="0" w:color="auto"/>
            </w:tcBorders>
            <w:shd w:val="clear" w:color="auto" w:fill="auto"/>
            <w:vAlign w:val="bottom"/>
            <w:hideMark/>
          </w:tcPr>
          <w:p w14:paraId="1C7E6E69"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SANTANDER</w:t>
            </w:r>
          </w:p>
        </w:tc>
        <w:tc>
          <w:tcPr>
            <w:tcW w:w="1859" w:type="dxa"/>
            <w:tcBorders>
              <w:top w:val="nil"/>
              <w:left w:val="nil"/>
              <w:bottom w:val="single" w:sz="4" w:space="0" w:color="auto"/>
              <w:right w:val="single" w:sz="4" w:space="0" w:color="auto"/>
            </w:tcBorders>
            <w:shd w:val="clear" w:color="auto" w:fill="auto"/>
            <w:vAlign w:val="bottom"/>
            <w:hideMark/>
          </w:tcPr>
          <w:p w14:paraId="395E6240" w14:textId="77777777"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826,539,474.40</w:t>
            </w:r>
          </w:p>
        </w:tc>
        <w:tc>
          <w:tcPr>
            <w:tcW w:w="1818" w:type="dxa"/>
            <w:tcBorders>
              <w:top w:val="nil"/>
              <w:left w:val="nil"/>
              <w:bottom w:val="single" w:sz="4" w:space="0" w:color="auto"/>
              <w:right w:val="single" w:sz="4" w:space="0" w:color="auto"/>
            </w:tcBorders>
            <w:shd w:val="clear" w:color="auto" w:fill="auto"/>
            <w:vAlign w:val="center"/>
            <w:hideMark/>
          </w:tcPr>
          <w:p w14:paraId="74EBFC40" w14:textId="5E42C5F3"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331,157,126.07</w:t>
            </w:r>
          </w:p>
        </w:tc>
        <w:tc>
          <w:tcPr>
            <w:tcW w:w="1810" w:type="dxa"/>
            <w:tcBorders>
              <w:top w:val="nil"/>
              <w:left w:val="nil"/>
              <w:bottom w:val="single" w:sz="4" w:space="0" w:color="auto"/>
              <w:right w:val="single" w:sz="4" w:space="0" w:color="auto"/>
            </w:tcBorders>
            <w:shd w:val="clear" w:color="auto" w:fill="auto"/>
            <w:vAlign w:val="center"/>
            <w:hideMark/>
          </w:tcPr>
          <w:p w14:paraId="1C391CA3" w14:textId="3022ECE5"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-495,382,348.33</w:t>
            </w:r>
          </w:p>
        </w:tc>
      </w:tr>
      <w:tr w:rsidR="00621D14" w:rsidRPr="00B81758" w14:paraId="6BFE69EB"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326262E7"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1.1.1.4.1.007</w:t>
            </w:r>
          </w:p>
        </w:tc>
        <w:tc>
          <w:tcPr>
            <w:tcW w:w="2173" w:type="dxa"/>
            <w:tcBorders>
              <w:top w:val="nil"/>
              <w:left w:val="nil"/>
              <w:bottom w:val="single" w:sz="4" w:space="0" w:color="auto"/>
              <w:right w:val="single" w:sz="4" w:space="0" w:color="auto"/>
            </w:tcBorders>
            <w:shd w:val="clear" w:color="auto" w:fill="auto"/>
            <w:vAlign w:val="bottom"/>
            <w:hideMark/>
          </w:tcPr>
          <w:p w14:paraId="03790A6B"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BANORTE</w:t>
            </w:r>
          </w:p>
        </w:tc>
        <w:tc>
          <w:tcPr>
            <w:tcW w:w="1859" w:type="dxa"/>
            <w:tcBorders>
              <w:top w:val="nil"/>
              <w:left w:val="nil"/>
              <w:bottom w:val="single" w:sz="4" w:space="0" w:color="auto"/>
              <w:right w:val="single" w:sz="4" w:space="0" w:color="auto"/>
            </w:tcBorders>
            <w:shd w:val="clear" w:color="auto" w:fill="auto"/>
            <w:vAlign w:val="bottom"/>
            <w:hideMark/>
          </w:tcPr>
          <w:p w14:paraId="55915DD2" w14:textId="77777777"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51,228,211.31</w:t>
            </w:r>
          </w:p>
        </w:tc>
        <w:tc>
          <w:tcPr>
            <w:tcW w:w="1818" w:type="dxa"/>
            <w:tcBorders>
              <w:top w:val="nil"/>
              <w:left w:val="nil"/>
              <w:bottom w:val="single" w:sz="4" w:space="0" w:color="auto"/>
              <w:right w:val="single" w:sz="4" w:space="0" w:color="auto"/>
            </w:tcBorders>
            <w:shd w:val="clear" w:color="auto" w:fill="auto"/>
            <w:vAlign w:val="center"/>
            <w:hideMark/>
          </w:tcPr>
          <w:p w14:paraId="44C92EE9" w14:textId="17343752"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69,950,720.19</w:t>
            </w:r>
          </w:p>
        </w:tc>
        <w:tc>
          <w:tcPr>
            <w:tcW w:w="1810" w:type="dxa"/>
            <w:tcBorders>
              <w:top w:val="nil"/>
              <w:left w:val="nil"/>
              <w:bottom w:val="single" w:sz="4" w:space="0" w:color="auto"/>
              <w:right w:val="single" w:sz="4" w:space="0" w:color="auto"/>
            </w:tcBorders>
            <w:shd w:val="clear" w:color="auto" w:fill="auto"/>
            <w:vAlign w:val="center"/>
            <w:hideMark/>
          </w:tcPr>
          <w:p w14:paraId="75197084" w14:textId="1F125F6E"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18,722,508.88</w:t>
            </w:r>
          </w:p>
        </w:tc>
      </w:tr>
      <w:tr w:rsidR="00621D14" w:rsidRPr="00B81758" w14:paraId="3BB5C115" w14:textId="77777777" w:rsidTr="00621D1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240DA"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1.1.1.4.1.009</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14EEB501" w14:textId="77777777" w:rsidR="00621D14" w:rsidRPr="00B81758" w:rsidRDefault="00621D14" w:rsidP="00621D14">
            <w:pPr>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BANCO AZTECA</w:t>
            </w:r>
          </w:p>
        </w:tc>
        <w:tc>
          <w:tcPr>
            <w:tcW w:w="1859" w:type="dxa"/>
            <w:tcBorders>
              <w:top w:val="single" w:sz="4" w:space="0" w:color="auto"/>
              <w:left w:val="nil"/>
              <w:bottom w:val="single" w:sz="4" w:space="0" w:color="auto"/>
              <w:right w:val="single" w:sz="4" w:space="0" w:color="auto"/>
            </w:tcBorders>
            <w:shd w:val="clear" w:color="auto" w:fill="auto"/>
            <w:vAlign w:val="bottom"/>
            <w:hideMark/>
          </w:tcPr>
          <w:p w14:paraId="24A2979E" w14:textId="77777777"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0.00</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0C9F6157" w14:textId="775E6E58"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518,970,269.89</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14:paraId="59661162" w14:textId="2B70C95D" w:rsidR="00621D14" w:rsidRPr="00B81758" w:rsidRDefault="00621D14" w:rsidP="00621D14">
            <w:pPr>
              <w:jc w:val="right"/>
              <w:rPr>
                <w:rFonts w:ascii="Montserrat" w:eastAsia="Times New Roman" w:hAnsi="Montserrat" w:cs="Calibri"/>
                <w:color w:val="000000"/>
                <w:sz w:val="20"/>
                <w:szCs w:val="20"/>
                <w:lang w:val="es-MX"/>
              </w:rPr>
            </w:pPr>
            <w:r w:rsidRPr="00B81758">
              <w:rPr>
                <w:rFonts w:ascii="Montserrat" w:eastAsia="Times New Roman" w:hAnsi="Montserrat" w:cs="Calibri"/>
                <w:color w:val="000000"/>
                <w:sz w:val="20"/>
                <w:szCs w:val="20"/>
                <w:lang w:val="es-MX"/>
              </w:rPr>
              <w:t>518,970,269.89</w:t>
            </w:r>
          </w:p>
        </w:tc>
      </w:tr>
      <w:tr w:rsidR="00076F11" w:rsidRPr="00B81758" w14:paraId="7786BF68" w14:textId="77777777" w:rsidTr="00621D1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350C490" w14:textId="77777777" w:rsidR="00076F11" w:rsidRPr="00B81758" w:rsidRDefault="00076F11" w:rsidP="00076F11">
            <w:pPr>
              <w:rPr>
                <w:rFonts w:ascii="Montserrat" w:eastAsia="Times New Roman" w:hAnsi="Montserrat" w:cs="Calibri"/>
                <w:b/>
                <w:bCs/>
                <w:color w:val="000000"/>
                <w:sz w:val="20"/>
                <w:szCs w:val="20"/>
                <w:lang w:val="es-MX"/>
              </w:rPr>
            </w:pPr>
          </w:p>
        </w:tc>
        <w:tc>
          <w:tcPr>
            <w:tcW w:w="2173" w:type="dxa"/>
            <w:tcBorders>
              <w:top w:val="single" w:sz="4" w:space="0" w:color="auto"/>
              <w:left w:val="nil"/>
              <w:bottom w:val="single" w:sz="4" w:space="0" w:color="auto"/>
              <w:right w:val="single" w:sz="4" w:space="0" w:color="auto"/>
            </w:tcBorders>
            <w:shd w:val="clear" w:color="auto" w:fill="auto"/>
            <w:vAlign w:val="bottom"/>
          </w:tcPr>
          <w:p w14:paraId="1C918C5A" w14:textId="486162FB" w:rsidR="00076F11" w:rsidRPr="00B81758" w:rsidRDefault="00076F11" w:rsidP="00076F11">
            <w:pPr>
              <w:rPr>
                <w:rFonts w:ascii="Montserrat" w:eastAsia="Times New Roman" w:hAnsi="Montserrat" w:cs="Calibri"/>
                <w:b/>
                <w:bCs/>
                <w:color w:val="000000"/>
                <w:sz w:val="20"/>
                <w:szCs w:val="20"/>
                <w:lang w:val="es-MX"/>
              </w:rPr>
            </w:pPr>
            <w:r w:rsidRPr="00B81758">
              <w:rPr>
                <w:rFonts w:ascii="Montserrat" w:eastAsia="Times New Roman" w:hAnsi="Montserrat" w:cs="Calibri"/>
                <w:b/>
                <w:bCs/>
                <w:color w:val="000000"/>
                <w:sz w:val="20"/>
                <w:szCs w:val="20"/>
                <w:lang w:val="es-MX"/>
              </w:rPr>
              <w:t>TOTALES</w:t>
            </w:r>
          </w:p>
        </w:tc>
        <w:tc>
          <w:tcPr>
            <w:tcW w:w="1859" w:type="dxa"/>
            <w:tcBorders>
              <w:top w:val="single" w:sz="4" w:space="0" w:color="auto"/>
              <w:left w:val="nil"/>
              <w:bottom w:val="single" w:sz="4" w:space="0" w:color="auto"/>
              <w:right w:val="single" w:sz="4" w:space="0" w:color="auto"/>
            </w:tcBorders>
            <w:shd w:val="clear" w:color="auto" w:fill="auto"/>
            <w:vAlign w:val="bottom"/>
          </w:tcPr>
          <w:p w14:paraId="16C2207B" w14:textId="68C018AC" w:rsidR="00076F11" w:rsidRPr="00B81758" w:rsidRDefault="00076F11" w:rsidP="00076F11">
            <w:pPr>
              <w:jc w:val="right"/>
              <w:rPr>
                <w:rFonts w:ascii="Montserrat" w:eastAsia="Times New Roman" w:hAnsi="Montserrat" w:cs="Calibri"/>
                <w:b/>
                <w:bCs/>
                <w:color w:val="000000"/>
                <w:sz w:val="20"/>
                <w:szCs w:val="20"/>
                <w:lang w:val="es-MX"/>
              </w:rPr>
            </w:pPr>
            <w:r w:rsidRPr="00B81758">
              <w:rPr>
                <w:rFonts w:ascii="Montserrat" w:hAnsi="Montserrat" w:cs="Calibri"/>
                <w:b/>
                <w:bCs/>
                <w:color w:val="000000"/>
                <w:sz w:val="20"/>
                <w:szCs w:val="20"/>
              </w:rPr>
              <w:t>3,033,899,206.82</w:t>
            </w:r>
          </w:p>
        </w:tc>
        <w:tc>
          <w:tcPr>
            <w:tcW w:w="1818" w:type="dxa"/>
            <w:tcBorders>
              <w:top w:val="single" w:sz="4" w:space="0" w:color="auto"/>
              <w:left w:val="nil"/>
              <w:bottom w:val="single" w:sz="4" w:space="0" w:color="auto"/>
              <w:right w:val="single" w:sz="4" w:space="0" w:color="auto"/>
            </w:tcBorders>
            <w:shd w:val="clear" w:color="auto" w:fill="auto"/>
            <w:vAlign w:val="bottom"/>
          </w:tcPr>
          <w:p w14:paraId="3064C29C" w14:textId="6D9B8EC6" w:rsidR="00076F11" w:rsidRPr="00B81758" w:rsidRDefault="00621D14" w:rsidP="00076F11">
            <w:pPr>
              <w:jc w:val="right"/>
              <w:rPr>
                <w:rFonts w:ascii="Montserrat" w:eastAsia="Times New Roman" w:hAnsi="Montserrat" w:cs="Calibri"/>
                <w:b/>
                <w:bCs/>
                <w:color w:val="000000"/>
                <w:sz w:val="20"/>
                <w:szCs w:val="20"/>
                <w:lang w:val="es-MX"/>
              </w:rPr>
            </w:pPr>
            <w:r w:rsidRPr="00B81758">
              <w:rPr>
                <w:rFonts w:ascii="Montserrat" w:eastAsia="Times New Roman" w:hAnsi="Montserrat" w:cs="Calibri"/>
                <w:b/>
                <w:bCs/>
                <w:color w:val="000000"/>
                <w:sz w:val="20"/>
                <w:szCs w:val="20"/>
                <w:lang w:val="es-MX"/>
              </w:rPr>
              <w:t>3,157,286,962.13</w:t>
            </w:r>
          </w:p>
        </w:tc>
        <w:tc>
          <w:tcPr>
            <w:tcW w:w="1810" w:type="dxa"/>
            <w:tcBorders>
              <w:top w:val="single" w:sz="4" w:space="0" w:color="auto"/>
              <w:left w:val="nil"/>
              <w:bottom w:val="single" w:sz="4" w:space="0" w:color="auto"/>
              <w:right w:val="single" w:sz="4" w:space="0" w:color="auto"/>
            </w:tcBorders>
            <w:shd w:val="clear" w:color="auto" w:fill="auto"/>
            <w:vAlign w:val="center"/>
          </w:tcPr>
          <w:p w14:paraId="248AAFCB" w14:textId="0BFFB118" w:rsidR="00076F11" w:rsidRPr="00B81758" w:rsidRDefault="00621D14" w:rsidP="00621D14">
            <w:pPr>
              <w:jc w:val="right"/>
              <w:rPr>
                <w:rFonts w:ascii="Montserrat" w:eastAsia="Times New Roman" w:hAnsi="Montserrat" w:cs="Calibri"/>
                <w:b/>
                <w:bCs/>
                <w:color w:val="000000"/>
                <w:sz w:val="20"/>
                <w:szCs w:val="20"/>
                <w:lang w:val="es-MX"/>
              </w:rPr>
            </w:pPr>
            <w:r w:rsidRPr="00B81758">
              <w:rPr>
                <w:rFonts w:ascii="Montserrat" w:eastAsia="Times New Roman" w:hAnsi="Montserrat" w:cs="Calibri"/>
                <w:b/>
                <w:bCs/>
                <w:color w:val="000000"/>
                <w:sz w:val="20"/>
                <w:szCs w:val="20"/>
                <w:lang w:val="es-MX"/>
              </w:rPr>
              <w:t>123,387,755.31</w:t>
            </w:r>
          </w:p>
        </w:tc>
      </w:tr>
    </w:tbl>
    <w:p w14:paraId="3EF6ADA5" w14:textId="7F594D51" w:rsidR="00076F11" w:rsidRPr="00B81758" w:rsidRDefault="00076F11" w:rsidP="00076F11">
      <w:pPr>
        <w:widowControl w:val="0"/>
        <w:jc w:val="both"/>
        <w:rPr>
          <w:rFonts w:ascii="Montserrat" w:eastAsia="Times New Roman" w:hAnsi="Montserrat" w:cs="Arial"/>
        </w:rPr>
      </w:pPr>
    </w:p>
    <w:p w14:paraId="46D9F9AD"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B81758">
        <w:rPr>
          <w:rFonts w:ascii="Montserrat" w:eastAsia="Times New Roman" w:hAnsi="Montserrat" w:cs="Arial"/>
          <w:sz w:val="24"/>
          <w:szCs w:val="24"/>
          <w:lang w:val="es-ES" w:eastAsia="es-MX"/>
        </w:rPr>
        <w:t>Patrimonio</w:t>
      </w:r>
      <w:r w:rsidRPr="00FD2DE6">
        <w:rPr>
          <w:rFonts w:ascii="Montserrat" w:eastAsia="Times New Roman" w:hAnsi="Montserrat" w:cs="Arial"/>
          <w:sz w:val="24"/>
          <w:szCs w:val="24"/>
          <w:lang w:val="es-ES" w:eastAsia="es-MX"/>
        </w:rPr>
        <w:t xml:space="preserve"> de Organismos Descentralizados de Control Presupuestario Indirecto.</w:t>
      </w:r>
    </w:p>
    <w:p w14:paraId="334C45B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Estado de Oaxaca no cuenta con organismos descentralizados de control presupuestario indirecto</w:t>
      </w:r>
    </w:p>
    <w:p w14:paraId="101BCF48" w14:textId="77777777" w:rsidR="00B0059B" w:rsidRPr="00FD2DE6" w:rsidRDefault="00B0059B" w:rsidP="00B0059B">
      <w:pPr>
        <w:tabs>
          <w:tab w:val="left" w:pos="7260"/>
        </w:tabs>
        <w:jc w:val="both"/>
        <w:rPr>
          <w:rFonts w:ascii="Montserrat" w:eastAsia="Times New Roman" w:hAnsi="Montserrat" w:cs="Arial"/>
        </w:rPr>
      </w:pPr>
    </w:p>
    <w:p w14:paraId="15EBC76A"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Inversiones en empresas de participación mayoritaria.</w:t>
      </w:r>
    </w:p>
    <w:p w14:paraId="114DE13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Estado de Oaxaca no cuenta con inversiones en empresas de participación mayoritaria</w:t>
      </w:r>
    </w:p>
    <w:p w14:paraId="73C594D4" w14:textId="77777777" w:rsidR="00B0059B" w:rsidRPr="00FD2DE6" w:rsidRDefault="00B0059B" w:rsidP="00B0059B">
      <w:pPr>
        <w:tabs>
          <w:tab w:val="left" w:pos="7260"/>
        </w:tabs>
        <w:jc w:val="both"/>
        <w:rPr>
          <w:rFonts w:ascii="Montserrat" w:eastAsia="Times New Roman" w:hAnsi="Montserrat" w:cs="Arial"/>
        </w:rPr>
      </w:pPr>
    </w:p>
    <w:p w14:paraId="7DEB7C67"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 xml:space="preserve"> Inversiones en empresas de participación minoritaria.</w:t>
      </w:r>
    </w:p>
    <w:p w14:paraId="4E107121"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Estado de Oaxaca no cuenta con inversiones en empresas de participación minoritaria</w:t>
      </w:r>
    </w:p>
    <w:p w14:paraId="06FCB7D5" w14:textId="77777777" w:rsidR="00912EC3" w:rsidRPr="00FD2DE6" w:rsidRDefault="00912EC3" w:rsidP="00B0059B">
      <w:pPr>
        <w:tabs>
          <w:tab w:val="left" w:pos="7260"/>
        </w:tabs>
        <w:jc w:val="both"/>
        <w:rPr>
          <w:rFonts w:ascii="Montserrat" w:eastAsia="Times New Roman" w:hAnsi="Montserrat" w:cs="Arial"/>
        </w:rPr>
      </w:pPr>
    </w:p>
    <w:p w14:paraId="3159A180" w14:textId="77777777" w:rsidR="00912EC3" w:rsidRPr="00FD2DE6" w:rsidRDefault="00912EC3" w:rsidP="00912EC3">
      <w:pPr>
        <w:pStyle w:val="Prrafodelista"/>
        <w:widowControl w:val="0"/>
        <w:numPr>
          <w:ilvl w:val="0"/>
          <w:numId w:val="18"/>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Patrimonio de Organismos Descentralizados de Control Presupuestario Directo, según corresponda.</w:t>
      </w:r>
    </w:p>
    <w:p w14:paraId="56957D65" w14:textId="0FE24345" w:rsidR="00912EC3" w:rsidRPr="00FD2DE6" w:rsidRDefault="00912EC3" w:rsidP="00912EC3">
      <w:pPr>
        <w:tabs>
          <w:tab w:val="left" w:pos="7260"/>
        </w:tabs>
        <w:jc w:val="both"/>
        <w:rPr>
          <w:rFonts w:ascii="Montserrat" w:eastAsia="Times New Roman" w:hAnsi="Montserrat" w:cs="Arial"/>
        </w:rPr>
      </w:pPr>
      <w:r w:rsidRPr="00FD2DE6">
        <w:rPr>
          <w:rFonts w:ascii="Montserrat" w:eastAsia="Times New Roman" w:hAnsi="Montserrat" w:cs="Arial"/>
        </w:rPr>
        <w:t>A continuación, se muestra la lista de Organismos Descentralizados de Control Presupuestario Directo con el patrimonio al 3</w:t>
      </w:r>
      <w:r w:rsidR="00621D14">
        <w:rPr>
          <w:rFonts w:ascii="Montserrat" w:eastAsia="Times New Roman" w:hAnsi="Montserrat" w:cs="Arial"/>
        </w:rPr>
        <w:t>1</w:t>
      </w:r>
      <w:r w:rsidRPr="00FD2DE6">
        <w:rPr>
          <w:rFonts w:ascii="Montserrat" w:eastAsia="Times New Roman" w:hAnsi="Montserrat" w:cs="Arial"/>
        </w:rPr>
        <w:t xml:space="preserve"> de </w:t>
      </w:r>
      <w:r w:rsidR="00621D14">
        <w:rPr>
          <w:rFonts w:ascii="Montserrat" w:eastAsia="Times New Roman" w:hAnsi="Montserrat" w:cs="Arial"/>
        </w:rPr>
        <w:t>diciembre</w:t>
      </w:r>
      <w:r w:rsidRPr="00FD2DE6">
        <w:rPr>
          <w:rFonts w:ascii="Montserrat" w:eastAsia="Times New Roman" w:hAnsi="Montserrat" w:cs="Arial"/>
        </w:rPr>
        <w:t xml:space="preserve"> de 2024 y 31 de diciembre de 2023, así como su variación, mencionando que las explicaciones de dichas variaciones se encontrarán en las notas a los estados financieros correspondiente a cada uno de ellos dentro del Tomo V del </w:t>
      </w:r>
      <w:r w:rsidR="00621D14">
        <w:rPr>
          <w:rFonts w:ascii="Montserrat" w:eastAsia="Times New Roman" w:hAnsi="Montserrat" w:cs="Arial"/>
        </w:rPr>
        <w:t>4to</w:t>
      </w:r>
      <w:r w:rsidRPr="00FD2DE6">
        <w:rPr>
          <w:rFonts w:ascii="Montserrat" w:eastAsia="Times New Roman" w:hAnsi="Montserrat" w:cs="Arial"/>
        </w:rPr>
        <w:t xml:space="preserve">. Informe </w:t>
      </w:r>
      <w:r w:rsidR="00621D14" w:rsidRPr="00FD2DE6">
        <w:rPr>
          <w:rFonts w:ascii="Montserrat" w:eastAsia="Times New Roman" w:hAnsi="Montserrat" w:cs="Arial"/>
        </w:rPr>
        <w:t xml:space="preserve">Trimestral </w:t>
      </w:r>
      <w:r w:rsidRPr="00FD2DE6">
        <w:rPr>
          <w:rFonts w:ascii="Montserrat" w:eastAsia="Times New Roman" w:hAnsi="Montserrat" w:cs="Arial"/>
        </w:rPr>
        <w:t>de Avance de Gestión de 2024:</w:t>
      </w:r>
    </w:p>
    <w:p w14:paraId="0CA2C696" w14:textId="77777777" w:rsidR="00912EC3" w:rsidRPr="00FD2DE6" w:rsidRDefault="00912EC3" w:rsidP="00B0059B">
      <w:pPr>
        <w:tabs>
          <w:tab w:val="left" w:pos="7260"/>
        </w:tabs>
        <w:jc w:val="both"/>
        <w:rPr>
          <w:rFonts w:ascii="Montserrat" w:eastAsia="Times New Roman" w:hAnsi="Montserrat" w:cs="Arial"/>
        </w:rPr>
      </w:pPr>
    </w:p>
    <w:tbl>
      <w:tblPr>
        <w:tblStyle w:val="Tablaconcuadrcula"/>
        <w:tblW w:w="9067" w:type="dxa"/>
        <w:tblLayout w:type="fixed"/>
        <w:tblLook w:val="04A0" w:firstRow="1" w:lastRow="0" w:firstColumn="1" w:lastColumn="0" w:noHBand="0" w:noVBand="1"/>
      </w:tblPr>
      <w:tblGrid>
        <w:gridCol w:w="608"/>
        <w:gridCol w:w="3640"/>
        <w:gridCol w:w="1559"/>
        <w:gridCol w:w="1559"/>
        <w:gridCol w:w="1701"/>
      </w:tblGrid>
      <w:tr w:rsidR="00FD2DE6" w:rsidRPr="00B81758" w14:paraId="7B0CFEC6" w14:textId="77777777" w:rsidTr="00732FA0">
        <w:trPr>
          <w:trHeight w:val="465"/>
          <w:tblHeader/>
        </w:trPr>
        <w:tc>
          <w:tcPr>
            <w:tcW w:w="608" w:type="dxa"/>
            <w:shd w:val="clear" w:color="auto" w:fill="A6A6A6" w:themeFill="background1" w:themeFillShade="A6"/>
            <w:vAlign w:val="center"/>
            <w:hideMark/>
          </w:tcPr>
          <w:p w14:paraId="3A1CBDF5" w14:textId="77777777" w:rsidR="00912EC3" w:rsidRPr="000669E4" w:rsidRDefault="00912EC3" w:rsidP="000669E4">
            <w:pPr>
              <w:tabs>
                <w:tab w:val="left" w:pos="7260"/>
              </w:tabs>
              <w:jc w:val="center"/>
              <w:rPr>
                <w:rFonts w:ascii="Montserrat" w:eastAsia="Times New Roman" w:hAnsi="Montserrat" w:cs="Arial"/>
                <w:b/>
                <w:bCs/>
                <w:color w:val="FFFFFF" w:themeColor="background1"/>
                <w:sz w:val="20"/>
                <w:szCs w:val="20"/>
              </w:rPr>
            </w:pPr>
            <w:r w:rsidRPr="000669E4">
              <w:rPr>
                <w:rFonts w:ascii="Montserrat" w:eastAsia="Times New Roman" w:hAnsi="Montserrat" w:cs="Arial"/>
                <w:b/>
                <w:bCs/>
                <w:color w:val="FFFFFF" w:themeColor="background1"/>
                <w:sz w:val="20"/>
                <w:szCs w:val="20"/>
              </w:rPr>
              <w:t>UR</w:t>
            </w:r>
          </w:p>
        </w:tc>
        <w:tc>
          <w:tcPr>
            <w:tcW w:w="3640" w:type="dxa"/>
            <w:shd w:val="clear" w:color="auto" w:fill="A6A6A6" w:themeFill="background1" w:themeFillShade="A6"/>
            <w:vAlign w:val="center"/>
            <w:hideMark/>
          </w:tcPr>
          <w:p w14:paraId="7BB03A70" w14:textId="77777777" w:rsidR="00912EC3" w:rsidRPr="000669E4" w:rsidRDefault="00912EC3" w:rsidP="00B81758">
            <w:pPr>
              <w:tabs>
                <w:tab w:val="left" w:pos="7260"/>
              </w:tabs>
              <w:jc w:val="center"/>
              <w:rPr>
                <w:rFonts w:ascii="Montserrat" w:eastAsia="Times New Roman" w:hAnsi="Montserrat" w:cs="Arial"/>
                <w:b/>
                <w:bCs/>
                <w:color w:val="FFFFFF" w:themeColor="background1"/>
                <w:sz w:val="20"/>
                <w:szCs w:val="20"/>
              </w:rPr>
            </w:pPr>
            <w:r w:rsidRPr="000669E4">
              <w:rPr>
                <w:rFonts w:ascii="Montserrat" w:eastAsia="Times New Roman" w:hAnsi="Montserrat" w:cs="Arial"/>
                <w:b/>
                <w:bCs/>
                <w:color w:val="FFFFFF" w:themeColor="background1"/>
                <w:sz w:val="20"/>
                <w:szCs w:val="20"/>
              </w:rPr>
              <w:t>NOMBRE</w:t>
            </w:r>
          </w:p>
        </w:tc>
        <w:tc>
          <w:tcPr>
            <w:tcW w:w="1559" w:type="dxa"/>
            <w:shd w:val="clear" w:color="auto" w:fill="A6A6A6" w:themeFill="background1" w:themeFillShade="A6"/>
            <w:vAlign w:val="center"/>
            <w:hideMark/>
          </w:tcPr>
          <w:p w14:paraId="32BEE41B" w14:textId="77777777" w:rsidR="00912EC3" w:rsidRPr="000669E4" w:rsidRDefault="00912EC3" w:rsidP="00B81758">
            <w:pPr>
              <w:tabs>
                <w:tab w:val="left" w:pos="7260"/>
              </w:tabs>
              <w:jc w:val="center"/>
              <w:rPr>
                <w:rFonts w:ascii="Montserrat" w:eastAsia="Times New Roman" w:hAnsi="Montserrat" w:cs="Arial"/>
                <w:b/>
                <w:bCs/>
                <w:color w:val="FFFFFF" w:themeColor="background1"/>
                <w:sz w:val="20"/>
                <w:szCs w:val="20"/>
              </w:rPr>
            </w:pPr>
            <w:r w:rsidRPr="000669E4">
              <w:rPr>
                <w:rFonts w:ascii="Montserrat" w:eastAsia="Times New Roman" w:hAnsi="Montserrat" w:cs="Arial"/>
                <w:b/>
                <w:bCs/>
                <w:color w:val="FFFFFF" w:themeColor="background1"/>
                <w:sz w:val="20"/>
                <w:szCs w:val="20"/>
              </w:rPr>
              <w:t>SALDO AL 31 DE DICIEMBRE DE 2023</w:t>
            </w:r>
          </w:p>
        </w:tc>
        <w:tc>
          <w:tcPr>
            <w:tcW w:w="1559" w:type="dxa"/>
            <w:shd w:val="clear" w:color="auto" w:fill="A6A6A6" w:themeFill="background1" w:themeFillShade="A6"/>
            <w:vAlign w:val="center"/>
            <w:hideMark/>
          </w:tcPr>
          <w:p w14:paraId="6041BEBE" w14:textId="0702B92F" w:rsidR="00912EC3" w:rsidRPr="000669E4" w:rsidRDefault="0038477A" w:rsidP="00B81758">
            <w:pPr>
              <w:tabs>
                <w:tab w:val="left" w:pos="7260"/>
              </w:tabs>
              <w:jc w:val="center"/>
              <w:rPr>
                <w:rFonts w:ascii="Montserrat" w:eastAsia="Times New Roman" w:hAnsi="Montserrat" w:cs="Arial"/>
                <w:b/>
                <w:bCs/>
                <w:color w:val="FFFFFF" w:themeColor="background1"/>
                <w:sz w:val="20"/>
                <w:szCs w:val="20"/>
              </w:rPr>
            </w:pPr>
            <w:r w:rsidRPr="000669E4">
              <w:rPr>
                <w:rFonts w:ascii="Montserrat" w:eastAsia="Times New Roman" w:hAnsi="Montserrat" w:cs="Arial"/>
                <w:b/>
                <w:bCs/>
                <w:color w:val="FFFFFF" w:themeColor="background1"/>
                <w:sz w:val="20"/>
                <w:szCs w:val="20"/>
              </w:rPr>
              <w:t>SALDO AL 31 DE DICIEMBRE DE 2024</w:t>
            </w:r>
          </w:p>
        </w:tc>
        <w:tc>
          <w:tcPr>
            <w:tcW w:w="1701" w:type="dxa"/>
            <w:shd w:val="clear" w:color="auto" w:fill="A6A6A6" w:themeFill="background1" w:themeFillShade="A6"/>
            <w:vAlign w:val="center"/>
            <w:hideMark/>
          </w:tcPr>
          <w:p w14:paraId="553F5E2E" w14:textId="77777777" w:rsidR="00912EC3" w:rsidRPr="000669E4" w:rsidRDefault="00912EC3" w:rsidP="00B81758">
            <w:pPr>
              <w:tabs>
                <w:tab w:val="left" w:pos="7260"/>
              </w:tabs>
              <w:jc w:val="center"/>
              <w:rPr>
                <w:rFonts w:ascii="Montserrat" w:eastAsia="Times New Roman" w:hAnsi="Montserrat" w:cs="Arial"/>
                <w:b/>
                <w:bCs/>
                <w:color w:val="FFFFFF" w:themeColor="background1"/>
                <w:sz w:val="20"/>
                <w:szCs w:val="20"/>
              </w:rPr>
            </w:pPr>
            <w:r w:rsidRPr="000669E4">
              <w:rPr>
                <w:rFonts w:ascii="Montserrat" w:eastAsia="Times New Roman" w:hAnsi="Montserrat" w:cs="Arial"/>
                <w:b/>
                <w:bCs/>
                <w:color w:val="FFFFFF" w:themeColor="background1"/>
                <w:sz w:val="20"/>
                <w:szCs w:val="20"/>
              </w:rPr>
              <w:t>DIFERENCIA</w:t>
            </w:r>
          </w:p>
        </w:tc>
      </w:tr>
      <w:tr w:rsidR="00B81758" w:rsidRPr="00C953B4" w14:paraId="0CDA1860" w14:textId="77777777" w:rsidTr="00B81758">
        <w:trPr>
          <w:trHeight w:val="315"/>
        </w:trPr>
        <w:tc>
          <w:tcPr>
            <w:tcW w:w="608" w:type="dxa"/>
            <w:vAlign w:val="center"/>
            <w:hideMark/>
          </w:tcPr>
          <w:p w14:paraId="3C96D9A2" w14:textId="60B76701"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501</w:t>
            </w:r>
          </w:p>
        </w:tc>
        <w:tc>
          <w:tcPr>
            <w:tcW w:w="3640" w:type="dxa"/>
            <w:vAlign w:val="center"/>
            <w:hideMark/>
          </w:tcPr>
          <w:p w14:paraId="0227DE51" w14:textId="11E041A1"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CAMINOS BIENESTAR</w:t>
            </w:r>
          </w:p>
        </w:tc>
        <w:tc>
          <w:tcPr>
            <w:tcW w:w="1559" w:type="dxa"/>
            <w:vAlign w:val="center"/>
            <w:hideMark/>
          </w:tcPr>
          <w:p w14:paraId="4E888152" w14:textId="4C215D9B"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933,701,697 </w:t>
            </w:r>
          </w:p>
        </w:tc>
        <w:tc>
          <w:tcPr>
            <w:tcW w:w="1559" w:type="dxa"/>
            <w:vAlign w:val="center"/>
            <w:hideMark/>
          </w:tcPr>
          <w:p w14:paraId="65D613F6" w14:textId="35750799"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546,346,693 </w:t>
            </w:r>
          </w:p>
        </w:tc>
        <w:tc>
          <w:tcPr>
            <w:tcW w:w="1701" w:type="dxa"/>
            <w:vAlign w:val="center"/>
            <w:hideMark/>
          </w:tcPr>
          <w:p w14:paraId="60C8A7CC" w14:textId="664F07DA"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387,355,004 </w:t>
            </w:r>
          </w:p>
        </w:tc>
      </w:tr>
      <w:tr w:rsidR="00B81758" w:rsidRPr="00C953B4" w14:paraId="40D462F4" w14:textId="77777777" w:rsidTr="00B81758">
        <w:trPr>
          <w:trHeight w:val="315"/>
        </w:trPr>
        <w:tc>
          <w:tcPr>
            <w:tcW w:w="608" w:type="dxa"/>
            <w:vAlign w:val="center"/>
            <w:hideMark/>
          </w:tcPr>
          <w:p w14:paraId="25E5D77E" w14:textId="07DC25CA"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502</w:t>
            </w:r>
          </w:p>
        </w:tc>
        <w:tc>
          <w:tcPr>
            <w:tcW w:w="3640" w:type="dxa"/>
            <w:vAlign w:val="center"/>
            <w:hideMark/>
          </w:tcPr>
          <w:p w14:paraId="7D88D496" w14:textId="2BBDAC53"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CASA DE LA CULTURA OAXAQUEÑA</w:t>
            </w:r>
          </w:p>
        </w:tc>
        <w:tc>
          <w:tcPr>
            <w:tcW w:w="1559" w:type="dxa"/>
            <w:vAlign w:val="center"/>
            <w:hideMark/>
          </w:tcPr>
          <w:p w14:paraId="05507A34" w14:textId="1B547FC0"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1,168,282 </w:t>
            </w:r>
          </w:p>
        </w:tc>
        <w:tc>
          <w:tcPr>
            <w:tcW w:w="1559" w:type="dxa"/>
            <w:vAlign w:val="center"/>
            <w:hideMark/>
          </w:tcPr>
          <w:p w14:paraId="7B6CCC2B" w14:textId="5C18E8E9"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1,761,875 </w:t>
            </w:r>
          </w:p>
        </w:tc>
        <w:tc>
          <w:tcPr>
            <w:tcW w:w="1701" w:type="dxa"/>
            <w:vAlign w:val="center"/>
            <w:hideMark/>
          </w:tcPr>
          <w:p w14:paraId="17E17F11" w14:textId="2423AF49"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593,593 </w:t>
            </w:r>
          </w:p>
        </w:tc>
      </w:tr>
      <w:tr w:rsidR="00B81758" w:rsidRPr="00C953B4" w14:paraId="51CE5B52" w14:textId="77777777" w:rsidTr="00B81758">
        <w:trPr>
          <w:trHeight w:val="315"/>
        </w:trPr>
        <w:tc>
          <w:tcPr>
            <w:tcW w:w="608" w:type="dxa"/>
            <w:vAlign w:val="center"/>
            <w:hideMark/>
          </w:tcPr>
          <w:p w14:paraId="2EE4F1D3" w14:textId="0F414F16"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504</w:t>
            </w:r>
          </w:p>
        </w:tc>
        <w:tc>
          <w:tcPr>
            <w:tcW w:w="3640" w:type="dxa"/>
            <w:vAlign w:val="center"/>
            <w:hideMark/>
          </w:tcPr>
          <w:p w14:paraId="201DF48F" w14:textId="71852139"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CENTRO DE LAS ARTES DE SAN AGUSTÍN</w:t>
            </w:r>
          </w:p>
        </w:tc>
        <w:tc>
          <w:tcPr>
            <w:tcW w:w="1559" w:type="dxa"/>
            <w:vAlign w:val="center"/>
            <w:hideMark/>
          </w:tcPr>
          <w:p w14:paraId="383BE1AC" w14:textId="392E8F22"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2,040,086 </w:t>
            </w:r>
          </w:p>
        </w:tc>
        <w:tc>
          <w:tcPr>
            <w:tcW w:w="1559" w:type="dxa"/>
            <w:vAlign w:val="center"/>
            <w:hideMark/>
          </w:tcPr>
          <w:p w14:paraId="6C4D6783" w14:textId="5CE388AB"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2,120,086 </w:t>
            </w:r>
          </w:p>
        </w:tc>
        <w:tc>
          <w:tcPr>
            <w:tcW w:w="1701" w:type="dxa"/>
            <w:vAlign w:val="center"/>
            <w:hideMark/>
          </w:tcPr>
          <w:p w14:paraId="7088F93C" w14:textId="41436301"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80,000 </w:t>
            </w:r>
          </w:p>
        </w:tc>
      </w:tr>
      <w:tr w:rsidR="00B81758" w:rsidRPr="00C953B4" w14:paraId="06CDF5C1" w14:textId="77777777" w:rsidTr="00B81758">
        <w:trPr>
          <w:trHeight w:val="315"/>
        </w:trPr>
        <w:tc>
          <w:tcPr>
            <w:tcW w:w="608" w:type="dxa"/>
            <w:vAlign w:val="center"/>
            <w:hideMark/>
          </w:tcPr>
          <w:p w14:paraId="7492419C" w14:textId="0F6F38AB"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506</w:t>
            </w:r>
          </w:p>
        </w:tc>
        <w:tc>
          <w:tcPr>
            <w:tcW w:w="3640" w:type="dxa"/>
            <w:vAlign w:val="center"/>
            <w:hideMark/>
          </w:tcPr>
          <w:p w14:paraId="29EC024C" w14:textId="29665144"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COLEGIO DE BACHILLERES DEL ESTADO DE OAXACA</w:t>
            </w:r>
          </w:p>
        </w:tc>
        <w:tc>
          <w:tcPr>
            <w:tcW w:w="1559" w:type="dxa"/>
            <w:vAlign w:val="center"/>
            <w:hideMark/>
          </w:tcPr>
          <w:p w14:paraId="5E20E491" w14:textId="0CAFA821"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255,249,333 </w:t>
            </w:r>
          </w:p>
        </w:tc>
        <w:tc>
          <w:tcPr>
            <w:tcW w:w="1559" w:type="dxa"/>
            <w:vAlign w:val="center"/>
            <w:hideMark/>
          </w:tcPr>
          <w:p w14:paraId="2EED690A" w14:textId="0FC7F0B3"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253,933,416 </w:t>
            </w:r>
          </w:p>
        </w:tc>
        <w:tc>
          <w:tcPr>
            <w:tcW w:w="1701" w:type="dxa"/>
            <w:vAlign w:val="center"/>
            <w:hideMark/>
          </w:tcPr>
          <w:p w14:paraId="64E380B8" w14:textId="466F00ED"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1,315,916 </w:t>
            </w:r>
          </w:p>
        </w:tc>
      </w:tr>
      <w:tr w:rsidR="00B81758" w:rsidRPr="00C953B4" w14:paraId="3DF72807" w14:textId="77777777" w:rsidTr="00B81758">
        <w:trPr>
          <w:trHeight w:val="465"/>
        </w:trPr>
        <w:tc>
          <w:tcPr>
            <w:tcW w:w="608" w:type="dxa"/>
            <w:vAlign w:val="center"/>
            <w:hideMark/>
          </w:tcPr>
          <w:p w14:paraId="26599799" w14:textId="1C5A8C80"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507</w:t>
            </w:r>
          </w:p>
        </w:tc>
        <w:tc>
          <w:tcPr>
            <w:tcW w:w="3640" w:type="dxa"/>
            <w:vAlign w:val="center"/>
            <w:hideMark/>
          </w:tcPr>
          <w:p w14:paraId="5619A20C" w14:textId="43B1D9B2"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COLEGIO DE ESTUDIOS CIENTÍFICOS Y TECNOLÓGICOS DEL ESTADO DE OAXACA</w:t>
            </w:r>
          </w:p>
        </w:tc>
        <w:tc>
          <w:tcPr>
            <w:tcW w:w="1559" w:type="dxa"/>
            <w:vAlign w:val="center"/>
            <w:hideMark/>
          </w:tcPr>
          <w:p w14:paraId="306A7B8E" w14:textId="0B7165FC"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1,471,473,161 </w:t>
            </w:r>
          </w:p>
        </w:tc>
        <w:tc>
          <w:tcPr>
            <w:tcW w:w="1559" w:type="dxa"/>
            <w:vAlign w:val="center"/>
            <w:hideMark/>
          </w:tcPr>
          <w:p w14:paraId="0012BE39" w14:textId="65B68E1A"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1,509,788,142 </w:t>
            </w:r>
          </w:p>
        </w:tc>
        <w:tc>
          <w:tcPr>
            <w:tcW w:w="1701" w:type="dxa"/>
            <w:vAlign w:val="center"/>
            <w:hideMark/>
          </w:tcPr>
          <w:p w14:paraId="6A1836B2" w14:textId="2AB97C8A"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38,314,980 </w:t>
            </w:r>
          </w:p>
        </w:tc>
      </w:tr>
      <w:tr w:rsidR="00B81758" w:rsidRPr="00C953B4" w14:paraId="496CAAF7" w14:textId="77777777" w:rsidTr="00B81758">
        <w:trPr>
          <w:trHeight w:val="465"/>
        </w:trPr>
        <w:tc>
          <w:tcPr>
            <w:tcW w:w="608" w:type="dxa"/>
            <w:vAlign w:val="center"/>
            <w:hideMark/>
          </w:tcPr>
          <w:p w14:paraId="4DC76218" w14:textId="36B51FA1"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508</w:t>
            </w:r>
          </w:p>
        </w:tc>
        <w:tc>
          <w:tcPr>
            <w:tcW w:w="3640" w:type="dxa"/>
            <w:vAlign w:val="center"/>
            <w:hideMark/>
          </w:tcPr>
          <w:p w14:paraId="750B0C7B" w14:textId="3F2D2EAD"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COLEGIO SUPERIOR PARA LA EDUCACIÓN INTEGRAL INTERCULTURAL DE OAXACA</w:t>
            </w:r>
          </w:p>
        </w:tc>
        <w:tc>
          <w:tcPr>
            <w:tcW w:w="1559" w:type="dxa"/>
            <w:vAlign w:val="center"/>
            <w:hideMark/>
          </w:tcPr>
          <w:p w14:paraId="43EABBC0" w14:textId="08DCDD66"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47,353,179 </w:t>
            </w:r>
          </w:p>
        </w:tc>
        <w:tc>
          <w:tcPr>
            <w:tcW w:w="1559" w:type="dxa"/>
            <w:vAlign w:val="center"/>
            <w:hideMark/>
          </w:tcPr>
          <w:p w14:paraId="1F319256" w14:textId="0716651E"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47,263,726 </w:t>
            </w:r>
          </w:p>
        </w:tc>
        <w:tc>
          <w:tcPr>
            <w:tcW w:w="1701" w:type="dxa"/>
            <w:vAlign w:val="center"/>
            <w:hideMark/>
          </w:tcPr>
          <w:p w14:paraId="4BC7C210" w14:textId="2C1EBAF1"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89,453 </w:t>
            </w:r>
          </w:p>
        </w:tc>
      </w:tr>
      <w:tr w:rsidR="00B81758" w:rsidRPr="00C953B4" w14:paraId="7A28BB6D" w14:textId="77777777" w:rsidTr="00B81758">
        <w:trPr>
          <w:trHeight w:val="315"/>
        </w:trPr>
        <w:tc>
          <w:tcPr>
            <w:tcW w:w="608" w:type="dxa"/>
            <w:vAlign w:val="center"/>
            <w:hideMark/>
          </w:tcPr>
          <w:p w14:paraId="68E7A6AF" w14:textId="73FFE1AA"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511</w:t>
            </w:r>
          </w:p>
        </w:tc>
        <w:tc>
          <w:tcPr>
            <w:tcW w:w="3640" w:type="dxa"/>
            <w:vAlign w:val="center"/>
            <w:hideMark/>
          </w:tcPr>
          <w:p w14:paraId="19F2896D" w14:textId="087A0076"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VIVIENDA BIENESTAR</w:t>
            </w:r>
          </w:p>
        </w:tc>
        <w:tc>
          <w:tcPr>
            <w:tcW w:w="1559" w:type="dxa"/>
            <w:vAlign w:val="center"/>
            <w:hideMark/>
          </w:tcPr>
          <w:p w14:paraId="088EEC20" w14:textId="02F8A793"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345,465,114 </w:t>
            </w:r>
          </w:p>
        </w:tc>
        <w:tc>
          <w:tcPr>
            <w:tcW w:w="1559" w:type="dxa"/>
            <w:vAlign w:val="center"/>
            <w:hideMark/>
          </w:tcPr>
          <w:p w14:paraId="6E052CB6" w14:textId="745F4F5A"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47,810,118 </w:t>
            </w:r>
          </w:p>
        </w:tc>
        <w:tc>
          <w:tcPr>
            <w:tcW w:w="1701" w:type="dxa"/>
            <w:vAlign w:val="center"/>
            <w:hideMark/>
          </w:tcPr>
          <w:p w14:paraId="57913EF2" w14:textId="17C06FBC"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297,654,996 </w:t>
            </w:r>
          </w:p>
        </w:tc>
      </w:tr>
      <w:tr w:rsidR="00B81758" w:rsidRPr="00C953B4" w14:paraId="78FBB5A3" w14:textId="77777777" w:rsidTr="00B81758">
        <w:trPr>
          <w:trHeight w:val="315"/>
        </w:trPr>
        <w:tc>
          <w:tcPr>
            <w:tcW w:w="608" w:type="dxa"/>
            <w:vAlign w:val="center"/>
            <w:hideMark/>
          </w:tcPr>
          <w:p w14:paraId="07AB4BEC" w14:textId="280253C2"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512</w:t>
            </w:r>
          </w:p>
        </w:tc>
        <w:tc>
          <w:tcPr>
            <w:tcW w:w="3640" w:type="dxa"/>
            <w:vAlign w:val="center"/>
            <w:hideMark/>
          </w:tcPr>
          <w:p w14:paraId="518C5202" w14:textId="3CB0078D"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COMISIÓN ESTATAL DEL AGUA PARA EL BIENESTAR</w:t>
            </w:r>
          </w:p>
        </w:tc>
        <w:tc>
          <w:tcPr>
            <w:tcW w:w="1559" w:type="dxa"/>
            <w:vAlign w:val="center"/>
            <w:hideMark/>
          </w:tcPr>
          <w:p w14:paraId="0F32F630" w14:textId="1F4A61C9"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1,867,083,507 </w:t>
            </w:r>
          </w:p>
        </w:tc>
        <w:tc>
          <w:tcPr>
            <w:tcW w:w="1559" w:type="dxa"/>
            <w:vAlign w:val="center"/>
            <w:hideMark/>
          </w:tcPr>
          <w:p w14:paraId="311B52A6" w14:textId="0CE6044C"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1,540,222,316 </w:t>
            </w:r>
          </w:p>
        </w:tc>
        <w:tc>
          <w:tcPr>
            <w:tcW w:w="1701" w:type="dxa"/>
            <w:vAlign w:val="center"/>
            <w:hideMark/>
          </w:tcPr>
          <w:p w14:paraId="003E8187" w14:textId="0492BA05"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326,861,191 </w:t>
            </w:r>
          </w:p>
        </w:tc>
      </w:tr>
      <w:tr w:rsidR="00B81758" w:rsidRPr="00C953B4" w14:paraId="6221A22E" w14:textId="77777777" w:rsidTr="00B81758">
        <w:trPr>
          <w:trHeight w:val="315"/>
        </w:trPr>
        <w:tc>
          <w:tcPr>
            <w:tcW w:w="608" w:type="dxa"/>
            <w:vAlign w:val="center"/>
            <w:hideMark/>
          </w:tcPr>
          <w:p w14:paraId="6B7424C0" w14:textId="2E81D556"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513</w:t>
            </w:r>
          </w:p>
        </w:tc>
        <w:tc>
          <w:tcPr>
            <w:tcW w:w="3640" w:type="dxa"/>
            <w:vAlign w:val="center"/>
            <w:hideMark/>
          </w:tcPr>
          <w:p w14:paraId="61B2CF9C" w14:textId="0D166F69"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COMISIÓN ESTATAL FORESTAL</w:t>
            </w:r>
          </w:p>
        </w:tc>
        <w:tc>
          <w:tcPr>
            <w:tcW w:w="1559" w:type="dxa"/>
            <w:vAlign w:val="center"/>
            <w:hideMark/>
          </w:tcPr>
          <w:p w14:paraId="23D3893D" w14:textId="32F39DBC"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8,225,988 </w:t>
            </w:r>
          </w:p>
        </w:tc>
        <w:tc>
          <w:tcPr>
            <w:tcW w:w="1559" w:type="dxa"/>
            <w:vAlign w:val="center"/>
            <w:hideMark/>
          </w:tcPr>
          <w:p w14:paraId="05449C6A" w14:textId="727D0B89"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8,310,798 </w:t>
            </w:r>
          </w:p>
        </w:tc>
        <w:tc>
          <w:tcPr>
            <w:tcW w:w="1701" w:type="dxa"/>
            <w:vAlign w:val="center"/>
            <w:hideMark/>
          </w:tcPr>
          <w:p w14:paraId="34314B47" w14:textId="4B3F40A9"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84,809 </w:t>
            </w:r>
          </w:p>
        </w:tc>
      </w:tr>
      <w:tr w:rsidR="00B81758" w:rsidRPr="00C953B4" w14:paraId="0AEF1D8C" w14:textId="77777777" w:rsidTr="00B81758">
        <w:trPr>
          <w:trHeight w:val="465"/>
        </w:trPr>
        <w:tc>
          <w:tcPr>
            <w:tcW w:w="608" w:type="dxa"/>
            <w:vAlign w:val="center"/>
            <w:hideMark/>
          </w:tcPr>
          <w:p w14:paraId="3F57B22D" w14:textId="7AD6AA5E"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514</w:t>
            </w:r>
          </w:p>
        </w:tc>
        <w:tc>
          <w:tcPr>
            <w:tcW w:w="3640" w:type="dxa"/>
            <w:vAlign w:val="center"/>
            <w:hideMark/>
          </w:tcPr>
          <w:p w14:paraId="225B3EAB" w14:textId="3EF1F30B"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 xml:space="preserve">COMISIÓN ESTATAL PARA LA PLANEACIÓN DE LA EDUCACIÓN </w:t>
            </w:r>
            <w:r>
              <w:rPr>
                <w:rFonts w:ascii="Montserrat" w:hAnsi="Montserrat" w:cs="Calibri"/>
                <w:color w:val="000000"/>
                <w:sz w:val="20"/>
                <w:szCs w:val="20"/>
              </w:rPr>
              <w:lastRenderedPageBreak/>
              <w:t>SUPERIOR EN EL ESTADO DE OAXACA</w:t>
            </w:r>
          </w:p>
        </w:tc>
        <w:tc>
          <w:tcPr>
            <w:tcW w:w="1559" w:type="dxa"/>
            <w:vAlign w:val="center"/>
            <w:hideMark/>
          </w:tcPr>
          <w:p w14:paraId="217FE331" w14:textId="0E65CAE4"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lastRenderedPageBreak/>
              <w:t xml:space="preserve"> 167,022 </w:t>
            </w:r>
          </w:p>
        </w:tc>
        <w:tc>
          <w:tcPr>
            <w:tcW w:w="1559" w:type="dxa"/>
            <w:vAlign w:val="center"/>
            <w:hideMark/>
          </w:tcPr>
          <w:p w14:paraId="423B83B3" w14:textId="0ACB0AF5" w:rsidR="00B81758" w:rsidRPr="00B81758" w:rsidRDefault="00B81758" w:rsidP="00B81758">
            <w:pPr>
              <w:tabs>
                <w:tab w:val="left" w:pos="7260"/>
              </w:tabs>
              <w:jc w:val="right"/>
              <w:rPr>
                <w:rFonts w:ascii="Montserrat" w:eastAsia="Times New Roman" w:hAnsi="Montserrat" w:cs="Arial"/>
                <w:sz w:val="20"/>
                <w:szCs w:val="20"/>
              </w:rPr>
            </w:pP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r>
              <w:rPr>
                <w:rFonts w:ascii="Montserrat" w:eastAsia="Times New Roman" w:hAnsi="Montserrat" w:cs="Arial"/>
                <w:sz w:val="20"/>
                <w:szCs w:val="20"/>
              </w:rPr>
              <w:t xml:space="preserve"> </w:t>
            </w:r>
          </w:p>
        </w:tc>
        <w:tc>
          <w:tcPr>
            <w:tcW w:w="1701" w:type="dxa"/>
            <w:vAlign w:val="center"/>
            <w:hideMark/>
          </w:tcPr>
          <w:p w14:paraId="00384D03" w14:textId="643E0A50" w:rsidR="00B81758" w:rsidRPr="00B81758" w:rsidRDefault="00B81758" w:rsidP="00B81758">
            <w:pPr>
              <w:tabs>
                <w:tab w:val="left" w:pos="7260"/>
              </w:tabs>
              <w:jc w:val="right"/>
              <w:rPr>
                <w:rFonts w:ascii="Montserrat" w:eastAsia="Times New Roman" w:hAnsi="Montserrat" w:cs="Arial"/>
                <w:sz w:val="20"/>
                <w:szCs w:val="20"/>
              </w:rPr>
            </w:pPr>
            <w:r>
              <w:rPr>
                <w:rFonts w:ascii="Montserrat" w:eastAsia="Times New Roman" w:hAnsi="Montserrat" w:cs="Arial"/>
                <w:sz w:val="20"/>
                <w:szCs w:val="20"/>
              </w:rPr>
              <w:t xml:space="preserve"> -   </w:t>
            </w:r>
            <w:r w:rsidRPr="00B81758">
              <w:rPr>
                <w:rFonts w:ascii="Montserrat" w:eastAsia="Times New Roman" w:hAnsi="Montserrat" w:cs="Arial"/>
                <w:sz w:val="20"/>
                <w:szCs w:val="20"/>
              </w:rPr>
              <w:t xml:space="preserve">167,022 </w:t>
            </w:r>
          </w:p>
        </w:tc>
      </w:tr>
      <w:tr w:rsidR="00B81758" w:rsidRPr="00C953B4" w14:paraId="2F0B6A3E" w14:textId="77777777" w:rsidTr="00B81758">
        <w:trPr>
          <w:trHeight w:val="465"/>
        </w:trPr>
        <w:tc>
          <w:tcPr>
            <w:tcW w:w="608" w:type="dxa"/>
            <w:vAlign w:val="center"/>
            <w:hideMark/>
          </w:tcPr>
          <w:p w14:paraId="124D32D8" w14:textId="00CDCC79"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515</w:t>
            </w:r>
          </w:p>
        </w:tc>
        <w:tc>
          <w:tcPr>
            <w:tcW w:w="3640" w:type="dxa"/>
            <w:vAlign w:val="center"/>
            <w:hideMark/>
          </w:tcPr>
          <w:p w14:paraId="36A4460D" w14:textId="4DC12544"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COMISIÓN ESTATAL PARA LA PLANEACIÓN Y PROGRAMACIÓN DE LA EDUCACIÓN MEDIA SUPERIOR DEL ESTADO DE OAXACA</w:t>
            </w:r>
          </w:p>
        </w:tc>
        <w:tc>
          <w:tcPr>
            <w:tcW w:w="1559" w:type="dxa"/>
            <w:vAlign w:val="center"/>
            <w:hideMark/>
          </w:tcPr>
          <w:p w14:paraId="57203727" w14:textId="1B62B387"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36,488 </w:t>
            </w:r>
          </w:p>
        </w:tc>
        <w:tc>
          <w:tcPr>
            <w:tcW w:w="1559" w:type="dxa"/>
            <w:vAlign w:val="center"/>
            <w:hideMark/>
          </w:tcPr>
          <w:p w14:paraId="09F0ADD6" w14:textId="0FEA8C3A"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36,488 </w:t>
            </w:r>
          </w:p>
        </w:tc>
        <w:tc>
          <w:tcPr>
            <w:tcW w:w="1701" w:type="dxa"/>
            <w:vAlign w:val="center"/>
            <w:hideMark/>
          </w:tcPr>
          <w:p w14:paraId="714995F9" w14:textId="01060A88"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r>
      <w:tr w:rsidR="00B81758" w:rsidRPr="00C953B4" w14:paraId="30112289" w14:textId="77777777" w:rsidTr="00B81758">
        <w:trPr>
          <w:trHeight w:val="465"/>
        </w:trPr>
        <w:tc>
          <w:tcPr>
            <w:tcW w:w="608" w:type="dxa"/>
            <w:vAlign w:val="center"/>
            <w:hideMark/>
          </w:tcPr>
          <w:p w14:paraId="63F79EDE" w14:textId="51263702"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516</w:t>
            </w:r>
          </w:p>
        </w:tc>
        <w:tc>
          <w:tcPr>
            <w:tcW w:w="3640" w:type="dxa"/>
            <w:vAlign w:val="center"/>
            <w:hideMark/>
          </w:tcPr>
          <w:p w14:paraId="2D969C64" w14:textId="5AAAB804"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COMISIÓN PARA LA REGULARIZACIÓN DE LA TENENCIA DE LA TIERRA URBANA DEL ESTADO DE OAXACA</w:t>
            </w:r>
          </w:p>
        </w:tc>
        <w:tc>
          <w:tcPr>
            <w:tcW w:w="1559" w:type="dxa"/>
            <w:vAlign w:val="center"/>
            <w:hideMark/>
          </w:tcPr>
          <w:p w14:paraId="05FA77D5" w14:textId="44D74393"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271,608 </w:t>
            </w:r>
          </w:p>
        </w:tc>
        <w:tc>
          <w:tcPr>
            <w:tcW w:w="1559" w:type="dxa"/>
            <w:vAlign w:val="center"/>
            <w:hideMark/>
          </w:tcPr>
          <w:p w14:paraId="74D3CF23" w14:textId="3E11AC33"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271,608 </w:t>
            </w:r>
          </w:p>
        </w:tc>
        <w:tc>
          <w:tcPr>
            <w:tcW w:w="1701" w:type="dxa"/>
            <w:vAlign w:val="center"/>
            <w:hideMark/>
          </w:tcPr>
          <w:p w14:paraId="7CBE6AB8" w14:textId="28C96EC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r>
      <w:tr w:rsidR="00B81758" w:rsidRPr="00C953B4" w14:paraId="10D13521" w14:textId="77777777" w:rsidTr="00B81758">
        <w:trPr>
          <w:trHeight w:val="315"/>
        </w:trPr>
        <w:tc>
          <w:tcPr>
            <w:tcW w:w="608" w:type="dxa"/>
            <w:vAlign w:val="center"/>
            <w:hideMark/>
          </w:tcPr>
          <w:p w14:paraId="1C66A7D4" w14:textId="12FD8F6D"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517</w:t>
            </w:r>
          </w:p>
        </w:tc>
        <w:tc>
          <w:tcPr>
            <w:tcW w:w="3640" w:type="dxa"/>
            <w:vAlign w:val="center"/>
            <w:hideMark/>
          </w:tcPr>
          <w:p w14:paraId="2941437D" w14:textId="0FAE812F"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CONSEJO ESTATAL PARA LA PREVENCIÓN Y CONTROL DEL SIDA</w:t>
            </w:r>
          </w:p>
        </w:tc>
        <w:tc>
          <w:tcPr>
            <w:tcW w:w="1559" w:type="dxa"/>
            <w:vAlign w:val="center"/>
            <w:hideMark/>
          </w:tcPr>
          <w:p w14:paraId="47C6D339" w14:textId="1B6BAB25"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21,715,478 </w:t>
            </w:r>
          </w:p>
        </w:tc>
        <w:tc>
          <w:tcPr>
            <w:tcW w:w="1559" w:type="dxa"/>
            <w:vAlign w:val="center"/>
            <w:hideMark/>
          </w:tcPr>
          <w:p w14:paraId="31A2101E" w14:textId="18E0310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21,661,945 </w:t>
            </w:r>
          </w:p>
        </w:tc>
        <w:tc>
          <w:tcPr>
            <w:tcW w:w="1701" w:type="dxa"/>
            <w:vAlign w:val="center"/>
            <w:hideMark/>
          </w:tcPr>
          <w:p w14:paraId="315123A5" w14:textId="0C6AE7C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53,533 </w:t>
            </w:r>
          </w:p>
        </w:tc>
      </w:tr>
      <w:tr w:rsidR="00B81758" w:rsidRPr="00C953B4" w14:paraId="2486A8E2" w14:textId="77777777" w:rsidTr="00B81758">
        <w:trPr>
          <w:trHeight w:val="315"/>
        </w:trPr>
        <w:tc>
          <w:tcPr>
            <w:tcW w:w="608" w:type="dxa"/>
            <w:vAlign w:val="center"/>
            <w:hideMark/>
          </w:tcPr>
          <w:p w14:paraId="44EFF1B4" w14:textId="7A1532F7"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519</w:t>
            </w:r>
          </w:p>
        </w:tc>
        <w:tc>
          <w:tcPr>
            <w:tcW w:w="3640" w:type="dxa"/>
            <w:vAlign w:val="center"/>
            <w:hideMark/>
          </w:tcPr>
          <w:p w14:paraId="44186181" w14:textId="386FEF28"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CONSEJO OAXAQUEÑO DE CIENCIA, TECNOLOGÍA E INNOVACIÓN.</w:t>
            </w:r>
          </w:p>
        </w:tc>
        <w:tc>
          <w:tcPr>
            <w:tcW w:w="1559" w:type="dxa"/>
            <w:vAlign w:val="center"/>
            <w:hideMark/>
          </w:tcPr>
          <w:p w14:paraId="766166E7" w14:textId="427EB301"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625,094 </w:t>
            </w:r>
          </w:p>
        </w:tc>
        <w:tc>
          <w:tcPr>
            <w:tcW w:w="1559" w:type="dxa"/>
            <w:vAlign w:val="center"/>
            <w:hideMark/>
          </w:tcPr>
          <w:p w14:paraId="11B5B258" w14:textId="18ADDD3A"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625,094 </w:t>
            </w:r>
          </w:p>
        </w:tc>
        <w:tc>
          <w:tcPr>
            <w:tcW w:w="1701" w:type="dxa"/>
            <w:vAlign w:val="center"/>
            <w:hideMark/>
          </w:tcPr>
          <w:p w14:paraId="0287885A" w14:textId="4E50CD30"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r>
      <w:tr w:rsidR="00B81758" w:rsidRPr="00C953B4" w14:paraId="616D4D44" w14:textId="77777777" w:rsidTr="00B81758">
        <w:trPr>
          <w:trHeight w:val="465"/>
        </w:trPr>
        <w:tc>
          <w:tcPr>
            <w:tcW w:w="608" w:type="dxa"/>
            <w:vAlign w:val="center"/>
            <w:hideMark/>
          </w:tcPr>
          <w:p w14:paraId="5D09A4D1" w14:textId="503B76AC"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520</w:t>
            </w:r>
          </w:p>
        </w:tc>
        <w:tc>
          <w:tcPr>
            <w:tcW w:w="3640" w:type="dxa"/>
            <w:vAlign w:val="center"/>
            <w:hideMark/>
          </w:tcPr>
          <w:p w14:paraId="5604D80A" w14:textId="2289A982"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COORDINACIÓN ESTATAL DE PROTECCIÓN CIVIL Y GESTIÓN DE RIESGOS</w:t>
            </w:r>
          </w:p>
        </w:tc>
        <w:tc>
          <w:tcPr>
            <w:tcW w:w="1559" w:type="dxa"/>
            <w:vAlign w:val="center"/>
            <w:hideMark/>
          </w:tcPr>
          <w:p w14:paraId="12E0E9FA" w14:textId="2A9FD9DB"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2,968,707 </w:t>
            </w:r>
          </w:p>
        </w:tc>
        <w:tc>
          <w:tcPr>
            <w:tcW w:w="1559" w:type="dxa"/>
            <w:vAlign w:val="center"/>
            <w:hideMark/>
          </w:tcPr>
          <w:p w14:paraId="597CD657" w14:textId="40A98BAB"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2,782,482 </w:t>
            </w:r>
          </w:p>
        </w:tc>
        <w:tc>
          <w:tcPr>
            <w:tcW w:w="1701" w:type="dxa"/>
            <w:vAlign w:val="center"/>
            <w:hideMark/>
          </w:tcPr>
          <w:p w14:paraId="25379C20" w14:textId="553E9A0D"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186,225 </w:t>
            </w:r>
          </w:p>
        </w:tc>
      </w:tr>
      <w:tr w:rsidR="00B81758" w:rsidRPr="00C953B4" w14:paraId="3BF9A438" w14:textId="77777777" w:rsidTr="00B81758">
        <w:trPr>
          <w:trHeight w:val="315"/>
        </w:trPr>
        <w:tc>
          <w:tcPr>
            <w:tcW w:w="608" w:type="dxa"/>
            <w:vAlign w:val="center"/>
            <w:hideMark/>
          </w:tcPr>
          <w:p w14:paraId="393A1B25" w14:textId="1338E907"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521</w:t>
            </w:r>
          </w:p>
        </w:tc>
        <w:tc>
          <w:tcPr>
            <w:tcW w:w="3640" w:type="dxa"/>
            <w:vAlign w:val="center"/>
            <w:hideMark/>
          </w:tcPr>
          <w:p w14:paraId="0530346F" w14:textId="6B51AD38"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CORPORACIÓN OAXAQUEÑA DE RADIO Y TELEVISIÓN</w:t>
            </w:r>
          </w:p>
        </w:tc>
        <w:tc>
          <w:tcPr>
            <w:tcW w:w="1559" w:type="dxa"/>
            <w:vAlign w:val="center"/>
            <w:hideMark/>
          </w:tcPr>
          <w:p w14:paraId="25583F92" w14:textId="2181351C"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170,613,608 </w:t>
            </w:r>
          </w:p>
        </w:tc>
        <w:tc>
          <w:tcPr>
            <w:tcW w:w="1559" w:type="dxa"/>
            <w:vAlign w:val="center"/>
            <w:hideMark/>
          </w:tcPr>
          <w:p w14:paraId="458B9530" w14:textId="5104A7E3"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170,597,184 </w:t>
            </w:r>
          </w:p>
        </w:tc>
        <w:tc>
          <w:tcPr>
            <w:tcW w:w="1701" w:type="dxa"/>
            <w:vAlign w:val="center"/>
            <w:hideMark/>
          </w:tcPr>
          <w:p w14:paraId="16E7216A" w14:textId="6B96A426"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16,424 </w:t>
            </w:r>
          </w:p>
        </w:tc>
      </w:tr>
      <w:tr w:rsidR="00B81758" w:rsidRPr="00C953B4" w14:paraId="137C16A9" w14:textId="77777777" w:rsidTr="00B81758">
        <w:trPr>
          <w:trHeight w:val="465"/>
        </w:trPr>
        <w:tc>
          <w:tcPr>
            <w:tcW w:w="608" w:type="dxa"/>
            <w:vAlign w:val="center"/>
            <w:hideMark/>
          </w:tcPr>
          <w:p w14:paraId="731DC179" w14:textId="043AB4EB"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522</w:t>
            </w:r>
          </w:p>
        </w:tc>
        <w:tc>
          <w:tcPr>
            <w:tcW w:w="3640" w:type="dxa"/>
            <w:vAlign w:val="center"/>
            <w:hideMark/>
          </w:tcPr>
          <w:p w14:paraId="57942396" w14:textId="0B38FB6D"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DIRECCIÓN GENERAL DE POBLACIÓN DE OAXACA (EXTINTO DECRETO NUM. 1719)</w:t>
            </w:r>
          </w:p>
        </w:tc>
        <w:tc>
          <w:tcPr>
            <w:tcW w:w="1559" w:type="dxa"/>
            <w:vAlign w:val="center"/>
            <w:hideMark/>
          </w:tcPr>
          <w:p w14:paraId="6926093B" w14:textId="350A843B"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166,361 </w:t>
            </w:r>
          </w:p>
        </w:tc>
        <w:tc>
          <w:tcPr>
            <w:tcW w:w="1559" w:type="dxa"/>
            <w:vAlign w:val="center"/>
            <w:hideMark/>
          </w:tcPr>
          <w:p w14:paraId="733D112B" w14:textId="1697B4E8"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704 </w:t>
            </w:r>
          </w:p>
        </w:tc>
        <w:tc>
          <w:tcPr>
            <w:tcW w:w="1701" w:type="dxa"/>
            <w:vAlign w:val="center"/>
            <w:hideMark/>
          </w:tcPr>
          <w:p w14:paraId="08C89EAD" w14:textId="422FBF68"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165,656 </w:t>
            </w:r>
          </w:p>
        </w:tc>
      </w:tr>
      <w:tr w:rsidR="00B81758" w:rsidRPr="00C953B4" w14:paraId="716A8BCD" w14:textId="77777777" w:rsidTr="00B81758">
        <w:trPr>
          <w:trHeight w:val="315"/>
        </w:trPr>
        <w:tc>
          <w:tcPr>
            <w:tcW w:w="608" w:type="dxa"/>
            <w:vAlign w:val="center"/>
            <w:hideMark/>
          </w:tcPr>
          <w:p w14:paraId="1A7E13A2" w14:textId="0CF7D66B"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523</w:t>
            </w:r>
          </w:p>
        </w:tc>
        <w:tc>
          <w:tcPr>
            <w:tcW w:w="3640" w:type="dxa"/>
            <w:vAlign w:val="center"/>
            <w:hideMark/>
          </w:tcPr>
          <w:p w14:paraId="71C3F734" w14:textId="090D6542"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HOSPITAL DE LA NIÑEZ OAXAQUEÑA</w:t>
            </w:r>
          </w:p>
        </w:tc>
        <w:tc>
          <w:tcPr>
            <w:tcW w:w="1559" w:type="dxa"/>
            <w:vAlign w:val="center"/>
            <w:hideMark/>
          </w:tcPr>
          <w:p w14:paraId="05EF7F6E" w14:textId="0B456A86"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77,684,425 </w:t>
            </w:r>
          </w:p>
        </w:tc>
        <w:tc>
          <w:tcPr>
            <w:tcW w:w="1559" w:type="dxa"/>
            <w:vAlign w:val="center"/>
            <w:hideMark/>
          </w:tcPr>
          <w:p w14:paraId="4FF8440D" w14:textId="0FC7B684"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87,539,211 </w:t>
            </w:r>
          </w:p>
        </w:tc>
        <w:tc>
          <w:tcPr>
            <w:tcW w:w="1701" w:type="dxa"/>
            <w:vAlign w:val="center"/>
            <w:hideMark/>
          </w:tcPr>
          <w:p w14:paraId="02577D32" w14:textId="278ED98D"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9,854,786 </w:t>
            </w:r>
          </w:p>
        </w:tc>
      </w:tr>
      <w:tr w:rsidR="00B81758" w:rsidRPr="00C953B4" w14:paraId="2B8EC134" w14:textId="77777777" w:rsidTr="00B81758">
        <w:trPr>
          <w:trHeight w:val="465"/>
        </w:trPr>
        <w:tc>
          <w:tcPr>
            <w:tcW w:w="608" w:type="dxa"/>
            <w:vAlign w:val="center"/>
            <w:hideMark/>
          </w:tcPr>
          <w:p w14:paraId="1F8230DC" w14:textId="18A46CC6"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524</w:t>
            </w:r>
          </w:p>
        </w:tc>
        <w:tc>
          <w:tcPr>
            <w:tcW w:w="3640" w:type="dxa"/>
            <w:vAlign w:val="center"/>
            <w:hideMark/>
          </w:tcPr>
          <w:p w14:paraId="60993C5D" w14:textId="183E2A9D"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DE CAPACITACIÓN Y PRODUCTIVIDAD PARA EL TRABAJO DEL ESTADO DE OAXACA</w:t>
            </w:r>
          </w:p>
        </w:tc>
        <w:tc>
          <w:tcPr>
            <w:tcW w:w="1559" w:type="dxa"/>
            <w:vAlign w:val="center"/>
            <w:hideMark/>
          </w:tcPr>
          <w:p w14:paraId="71ADB0D2" w14:textId="03BB2335"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62,269,517 </w:t>
            </w:r>
          </w:p>
        </w:tc>
        <w:tc>
          <w:tcPr>
            <w:tcW w:w="1559" w:type="dxa"/>
            <w:vAlign w:val="center"/>
            <w:hideMark/>
          </w:tcPr>
          <w:p w14:paraId="2F655DDA" w14:textId="6615F11E"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59,239,065 </w:t>
            </w:r>
          </w:p>
        </w:tc>
        <w:tc>
          <w:tcPr>
            <w:tcW w:w="1701" w:type="dxa"/>
            <w:vAlign w:val="center"/>
            <w:hideMark/>
          </w:tcPr>
          <w:p w14:paraId="5ECE4DE2" w14:textId="3E531F1D"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3,030,452 </w:t>
            </w:r>
          </w:p>
        </w:tc>
      </w:tr>
      <w:tr w:rsidR="00B81758" w:rsidRPr="00C953B4" w14:paraId="2A52014D" w14:textId="77777777" w:rsidTr="00B81758">
        <w:trPr>
          <w:trHeight w:val="465"/>
        </w:trPr>
        <w:tc>
          <w:tcPr>
            <w:tcW w:w="608" w:type="dxa"/>
            <w:vAlign w:val="center"/>
            <w:hideMark/>
          </w:tcPr>
          <w:p w14:paraId="1E96A329" w14:textId="7F00689E"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525</w:t>
            </w:r>
          </w:p>
        </w:tc>
        <w:tc>
          <w:tcPr>
            <w:tcW w:w="3640" w:type="dxa"/>
            <w:vAlign w:val="center"/>
            <w:hideMark/>
          </w:tcPr>
          <w:p w14:paraId="13FE2960" w14:textId="027E2675"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DE ESTUDIOS DE BACHILLERATO DEL ESTADO DE OAXACA</w:t>
            </w:r>
          </w:p>
        </w:tc>
        <w:tc>
          <w:tcPr>
            <w:tcW w:w="1559" w:type="dxa"/>
            <w:vAlign w:val="center"/>
            <w:hideMark/>
          </w:tcPr>
          <w:p w14:paraId="1885F44F" w14:textId="330E5166"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22,186,335 </w:t>
            </w:r>
          </w:p>
        </w:tc>
        <w:tc>
          <w:tcPr>
            <w:tcW w:w="1559" w:type="dxa"/>
            <w:vAlign w:val="center"/>
            <w:hideMark/>
          </w:tcPr>
          <w:p w14:paraId="65FA4986" w14:textId="2CCFD3C8"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22,131,269 </w:t>
            </w:r>
          </w:p>
        </w:tc>
        <w:tc>
          <w:tcPr>
            <w:tcW w:w="1701" w:type="dxa"/>
            <w:vAlign w:val="center"/>
            <w:hideMark/>
          </w:tcPr>
          <w:p w14:paraId="4DE376D1" w14:textId="71375B2C"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55,066 </w:t>
            </w:r>
          </w:p>
        </w:tc>
      </w:tr>
      <w:tr w:rsidR="00B81758" w:rsidRPr="00C953B4" w14:paraId="64706AEE" w14:textId="77777777" w:rsidTr="00B81758">
        <w:trPr>
          <w:trHeight w:val="315"/>
        </w:trPr>
        <w:tc>
          <w:tcPr>
            <w:tcW w:w="608" w:type="dxa"/>
            <w:vAlign w:val="center"/>
            <w:hideMark/>
          </w:tcPr>
          <w:p w14:paraId="2708A47E" w14:textId="151C8845"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526</w:t>
            </w:r>
          </w:p>
        </w:tc>
        <w:tc>
          <w:tcPr>
            <w:tcW w:w="3640" w:type="dxa"/>
            <w:vAlign w:val="center"/>
            <w:hideMark/>
          </w:tcPr>
          <w:p w14:paraId="119B2E1F" w14:textId="7E099F47"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DE LA JUVENTUD DEL ESTADO DE OAXACA</w:t>
            </w:r>
          </w:p>
        </w:tc>
        <w:tc>
          <w:tcPr>
            <w:tcW w:w="1559" w:type="dxa"/>
            <w:vAlign w:val="center"/>
            <w:hideMark/>
          </w:tcPr>
          <w:p w14:paraId="09452585" w14:textId="39754ABE"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1,207,755 </w:t>
            </w:r>
          </w:p>
        </w:tc>
        <w:tc>
          <w:tcPr>
            <w:tcW w:w="1559" w:type="dxa"/>
            <w:vAlign w:val="center"/>
            <w:hideMark/>
          </w:tcPr>
          <w:p w14:paraId="3CBD1304" w14:textId="5E18E27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1,207,505 </w:t>
            </w:r>
          </w:p>
        </w:tc>
        <w:tc>
          <w:tcPr>
            <w:tcW w:w="1701" w:type="dxa"/>
            <w:vAlign w:val="center"/>
            <w:hideMark/>
          </w:tcPr>
          <w:p w14:paraId="3C8F6708" w14:textId="3C35FAED"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250 </w:t>
            </w:r>
          </w:p>
        </w:tc>
      </w:tr>
      <w:tr w:rsidR="00B81758" w:rsidRPr="00C953B4" w14:paraId="0F788F7D" w14:textId="77777777" w:rsidTr="00B81758">
        <w:trPr>
          <w:trHeight w:val="315"/>
        </w:trPr>
        <w:tc>
          <w:tcPr>
            <w:tcW w:w="608" w:type="dxa"/>
            <w:vAlign w:val="center"/>
            <w:hideMark/>
          </w:tcPr>
          <w:p w14:paraId="47C3222C" w14:textId="70143CAC"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528</w:t>
            </w:r>
          </w:p>
        </w:tc>
        <w:tc>
          <w:tcPr>
            <w:tcW w:w="3640" w:type="dxa"/>
            <w:vAlign w:val="center"/>
            <w:hideMark/>
          </w:tcPr>
          <w:p w14:paraId="2402D98A" w14:textId="6A3E24CF"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DEL PATRIMONIO CULTURAL DEL ESTADO DE OAXACA</w:t>
            </w:r>
          </w:p>
        </w:tc>
        <w:tc>
          <w:tcPr>
            <w:tcW w:w="1559" w:type="dxa"/>
            <w:vAlign w:val="center"/>
            <w:hideMark/>
          </w:tcPr>
          <w:p w14:paraId="1C6037A9" w14:textId="04A5E484"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856,784,175 </w:t>
            </w:r>
          </w:p>
        </w:tc>
        <w:tc>
          <w:tcPr>
            <w:tcW w:w="1559" w:type="dxa"/>
            <w:vAlign w:val="center"/>
            <w:hideMark/>
          </w:tcPr>
          <w:p w14:paraId="32440E89" w14:textId="63643442"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861,733,175 </w:t>
            </w:r>
          </w:p>
        </w:tc>
        <w:tc>
          <w:tcPr>
            <w:tcW w:w="1701" w:type="dxa"/>
            <w:vAlign w:val="center"/>
            <w:hideMark/>
          </w:tcPr>
          <w:p w14:paraId="77EE63D3" w14:textId="3F805E02"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4,949,000 </w:t>
            </w:r>
          </w:p>
        </w:tc>
      </w:tr>
      <w:tr w:rsidR="00B81758" w:rsidRPr="00C953B4" w14:paraId="2851BD35" w14:textId="77777777" w:rsidTr="00B81758">
        <w:trPr>
          <w:trHeight w:val="315"/>
        </w:trPr>
        <w:tc>
          <w:tcPr>
            <w:tcW w:w="608" w:type="dxa"/>
            <w:vAlign w:val="center"/>
            <w:hideMark/>
          </w:tcPr>
          <w:p w14:paraId="1F256F60" w14:textId="56919E23"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530</w:t>
            </w:r>
          </w:p>
        </w:tc>
        <w:tc>
          <w:tcPr>
            <w:tcW w:w="3640" w:type="dxa"/>
            <w:vAlign w:val="center"/>
            <w:hideMark/>
          </w:tcPr>
          <w:p w14:paraId="7A2E7BDB" w14:textId="7CBE5990"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ESTATAL DE EDUCACIÓN PARA ADULTOS</w:t>
            </w:r>
          </w:p>
        </w:tc>
        <w:tc>
          <w:tcPr>
            <w:tcW w:w="1559" w:type="dxa"/>
            <w:vAlign w:val="center"/>
            <w:hideMark/>
          </w:tcPr>
          <w:p w14:paraId="6452736C" w14:textId="023ED1F7"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-6,432,707 </w:t>
            </w:r>
          </w:p>
        </w:tc>
        <w:tc>
          <w:tcPr>
            <w:tcW w:w="1559" w:type="dxa"/>
            <w:vAlign w:val="center"/>
            <w:hideMark/>
          </w:tcPr>
          <w:p w14:paraId="4A22E19B" w14:textId="25EBF9CD"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785,441 </w:t>
            </w:r>
          </w:p>
        </w:tc>
        <w:tc>
          <w:tcPr>
            <w:tcW w:w="1701" w:type="dxa"/>
            <w:vAlign w:val="center"/>
            <w:hideMark/>
          </w:tcPr>
          <w:p w14:paraId="3735DC50" w14:textId="552D3FE4"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7,218,148 </w:t>
            </w:r>
          </w:p>
        </w:tc>
      </w:tr>
      <w:tr w:rsidR="00B81758" w:rsidRPr="00C953B4" w14:paraId="56079503" w14:textId="77777777" w:rsidTr="00B81758">
        <w:trPr>
          <w:trHeight w:val="315"/>
        </w:trPr>
        <w:tc>
          <w:tcPr>
            <w:tcW w:w="608" w:type="dxa"/>
            <w:vAlign w:val="center"/>
            <w:hideMark/>
          </w:tcPr>
          <w:p w14:paraId="62D4736B" w14:textId="6AB25515"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lastRenderedPageBreak/>
              <w:t>531</w:t>
            </w:r>
          </w:p>
        </w:tc>
        <w:tc>
          <w:tcPr>
            <w:tcW w:w="3640" w:type="dxa"/>
            <w:vAlign w:val="center"/>
            <w:hideMark/>
          </w:tcPr>
          <w:p w14:paraId="0B5CAF8F" w14:textId="2CD58781"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ESTATAL DE EDUCACIÓN PÚBLICA DE OAXACA</w:t>
            </w:r>
          </w:p>
        </w:tc>
        <w:tc>
          <w:tcPr>
            <w:tcW w:w="1559" w:type="dxa"/>
            <w:vAlign w:val="center"/>
            <w:hideMark/>
          </w:tcPr>
          <w:p w14:paraId="7DC7B2B3" w14:textId="7220BD94"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5,252,450,821 </w:t>
            </w:r>
          </w:p>
        </w:tc>
        <w:tc>
          <w:tcPr>
            <w:tcW w:w="1559" w:type="dxa"/>
            <w:vAlign w:val="center"/>
            <w:hideMark/>
          </w:tcPr>
          <w:p w14:paraId="711F6E3E" w14:textId="3455A983"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5,252,353,724 </w:t>
            </w:r>
          </w:p>
        </w:tc>
        <w:tc>
          <w:tcPr>
            <w:tcW w:w="1701" w:type="dxa"/>
            <w:vAlign w:val="center"/>
            <w:hideMark/>
          </w:tcPr>
          <w:p w14:paraId="5DD52C0B" w14:textId="4B983E11"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97,097 </w:t>
            </w:r>
          </w:p>
        </w:tc>
      </w:tr>
      <w:tr w:rsidR="00B81758" w:rsidRPr="00C953B4" w14:paraId="13E2843F" w14:textId="77777777" w:rsidTr="00B81758">
        <w:trPr>
          <w:trHeight w:val="465"/>
        </w:trPr>
        <w:tc>
          <w:tcPr>
            <w:tcW w:w="608" w:type="dxa"/>
            <w:vAlign w:val="center"/>
            <w:hideMark/>
          </w:tcPr>
          <w:p w14:paraId="7BEC66F5" w14:textId="194E6A18"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532</w:t>
            </w:r>
          </w:p>
        </w:tc>
        <w:tc>
          <w:tcPr>
            <w:tcW w:w="3640" w:type="dxa"/>
            <w:vAlign w:val="center"/>
            <w:hideMark/>
          </w:tcPr>
          <w:p w14:paraId="3736C129" w14:textId="337A2D14"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OAXAQUEÑO CONSTRUCTOR DE INFRAESTRUCTURA EDUCATIVA</w:t>
            </w:r>
          </w:p>
        </w:tc>
        <w:tc>
          <w:tcPr>
            <w:tcW w:w="1559" w:type="dxa"/>
            <w:vAlign w:val="center"/>
            <w:hideMark/>
          </w:tcPr>
          <w:p w14:paraId="4A9D1AFC" w14:textId="7735B8AC"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888,676,893 </w:t>
            </w:r>
          </w:p>
        </w:tc>
        <w:tc>
          <w:tcPr>
            <w:tcW w:w="1559" w:type="dxa"/>
            <w:vAlign w:val="center"/>
            <w:hideMark/>
          </w:tcPr>
          <w:p w14:paraId="08210E44" w14:textId="34BCA76D"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753,722,256 </w:t>
            </w:r>
          </w:p>
        </w:tc>
        <w:tc>
          <w:tcPr>
            <w:tcW w:w="1701" w:type="dxa"/>
            <w:vAlign w:val="center"/>
            <w:hideMark/>
          </w:tcPr>
          <w:p w14:paraId="772CFC93" w14:textId="3B7F6F09"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134,954,637 </w:t>
            </w:r>
          </w:p>
        </w:tc>
      </w:tr>
      <w:tr w:rsidR="00B81758" w:rsidRPr="00C953B4" w14:paraId="702FA8EF" w14:textId="77777777" w:rsidTr="00B81758">
        <w:trPr>
          <w:trHeight w:val="465"/>
        </w:trPr>
        <w:tc>
          <w:tcPr>
            <w:tcW w:w="608" w:type="dxa"/>
            <w:vAlign w:val="center"/>
            <w:hideMark/>
          </w:tcPr>
          <w:p w14:paraId="73F82DA4" w14:textId="3536AF7F"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533</w:t>
            </w:r>
          </w:p>
        </w:tc>
        <w:tc>
          <w:tcPr>
            <w:tcW w:w="3640" w:type="dxa"/>
            <w:vAlign w:val="center"/>
            <w:hideMark/>
          </w:tcPr>
          <w:p w14:paraId="12FBD4BB" w14:textId="67A31FC2"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DE ATENCIÓN INTEGRAL AL MIGRANTE OAXAQUEÑO (EXTINTO DECRETO NUM. 1719)</w:t>
            </w:r>
          </w:p>
        </w:tc>
        <w:tc>
          <w:tcPr>
            <w:tcW w:w="1559" w:type="dxa"/>
            <w:vAlign w:val="center"/>
            <w:hideMark/>
          </w:tcPr>
          <w:p w14:paraId="621CCFFD" w14:textId="41B82DEE"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1,236,983 </w:t>
            </w:r>
          </w:p>
        </w:tc>
        <w:tc>
          <w:tcPr>
            <w:tcW w:w="1559" w:type="dxa"/>
            <w:vAlign w:val="center"/>
            <w:hideMark/>
          </w:tcPr>
          <w:p w14:paraId="066416BF" w14:textId="484470ED" w:rsidR="00B81758" w:rsidRPr="00B81758" w:rsidRDefault="00B81758" w:rsidP="00B81758">
            <w:pPr>
              <w:tabs>
                <w:tab w:val="left" w:pos="7260"/>
              </w:tabs>
              <w:jc w:val="right"/>
              <w:rPr>
                <w:rFonts w:ascii="Montserrat" w:eastAsia="Times New Roman" w:hAnsi="Montserrat" w:cs="Arial"/>
                <w:sz w:val="20"/>
                <w:szCs w:val="20"/>
              </w:rPr>
            </w:pP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c>
          <w:tcPr>
            <w:tcW w:w="1701" w:type="dxa"/>
            <w:vAlign w:val="center"/>
            <w:hideMark/>
          </w:tcPr>
          <w:p w14:paraId="48C95E33" w14:textId="5E0A4472"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1,236,983 </w:t>
            </w:r>
          </w:p>
        </w:tc>
      </w:tr>
      <w:tr w:rsidR="00B81758" w:rsidRPr="00C953B4" w14:paraId="00BB667F" w14:textId="77777777" w:rsidTr="00B81758">
        <w:trPr>
          <w:trHeight w:val="465"/>
        </w:trPr>
        <w:tc>
          <w:tcPr>
            <w:tcW w:w="608" w:type="dxa"/>
            <w:vAlign w:val="center"/>
            <w:hideMark/>
          </w:tcPr>
          <w:p w14:paraId="6F70D3EE" w14:textId="431D22D1"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534</w:t>
            </w:r>
          </w:p>
        </w:tc>
        <w:tc>
          <w:tcPr>
            <w:tcW w:w="3640" w:type="dxa"/>
            <w:vAlign w:val="center"/>
            <w:hideMark/>
          </w:tcPr>
          <w:p w14:paraId="567F3C15" w14:textId="1A8BC223"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PARA EL FOMENTO Y LA PROTECCIÓN DE LAS ARTESANÍAS (EXTINTO DECRETO NUM. 1719)</w:t>
            </w:r>
          </w:p>
        </w:tc>
        <w:tc>
          <w:tcPr>
            <w:tcW w:w="1559" w:type="dxa"/>
            <w:vAlign w:val="center"/>
            <w:hideMark/>
          </w:tcPr>
          <w:p w14:paraId="6A30DDC0" w14:textId="531C5C0D"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1,383,967 </w:t>
            </w:r>
          </w:p>
        </w:tc>
        <w:tc>
          <w:tcPr>
            <w:tcW w:w="1559" w:type="dxa"/>
            <w:vAlign w:val="center"/>
            <w:hideMark/>
          </w:tcPr>
          <w:p w14:paraId="6FB7ECB5" w14:textId="78CD2E56"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c>
          <w:tcPr>
            <w:tcW w:w="1701" w:type="dxa"/>
            <w:vAlign w:val="center"/>
            <w:hideMark/>
          </w:tcPr>
          <w:p w14:paraId="7E00D369" w14:textId="1C9D6980"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1,383,967 </w:t>
            </w:r>
          </w:p>
        </w:tc>
      </w:tr>
      <w:tr w:rsidR="00B81758" w:rsidRPr="00C953B4" w14:paraId="3C237C85" w14:textId="77777777" w:rsidTr="00B81758">
        <w:trPr>
          <w:trHeight w:val="315"/>
        </w:trPr>
        <w:tc>
          <w:tcPr>
            <w:tcW w:w="608" w:type="dxa"/>
            <w:vAlign w:val="center"/>
            <w:hideMark/>
          </w:tcPr>
          <w:p w14:paraId="3057D9A6" w14:textId="2C65F23E"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535</w:t>
            </w:r>
          </w:p>
        </w:tc>
        <w:tc>
          <w:tcPr>
            <w:tcW w:w="3640" w:type="dxa"/>
            <w:vAlign w:val="center"/>
            <w:hideMark/>
          </w:tcPr>
          <w:p w14:paraId="35458209" w14:textId="676CABE3"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TECNOLÓGICO SUPERIOR DE SAN MIGUEL EL GRANDE</w:t>
            </w:r>
          </w:p>
        </w:tc>
        <w:tc>
          <w:tcPr>
            <w:tcW w:w="1559" w:type="dxa"/>
            <w:vAlign w:val="center"/>
            <w:hideMark/>
          </w:tcPr>
          <w:p w14:paraId="469A523F" w14:textId="79760166"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13,949,120 </w:t>
            </w:r>
          </w:p>
        </w:tc>
        <w:tc>
          <w:tcPr>
            <w:tcW w:w="1559" w:type="dxa"/>
            <w:vAlign w:val="center"/>
            <w:hideMark/>
          </w:tcPr>
          <w:p w14:paraId="29521B35" w14:textId="7318F4BC"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13,503,606 </w:t>
            </w:r>
          </w:p>
        </w:tc>
        <w:tc>
          <w:tcPr>
            <w:tcW w:w="1701" w:type="dxa"/>
            <w:vAlign w:val="center"/>
            <w:hideMark/>
          </w:tcPr>
          <w:p w14:paraId="4DEA9A04" w14:textId="7849D412"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445,514 </w:t>
            </w:r>
          </w:p>
        </w:tc>
      </w:tr>
      <w:tr w:rsidR="00B81758" w:rsidRPr="00C953B4" w14:paraId="3CAC8C74" w14:textId="77777777" w:rsidTr="00B81758">
        <w:trPr>
          <w:trHeight w:val="315"/>
        </w:trPr>
        <w:tc>
          <w:tcPr>
            <w:tcW w:w="608" w:type="dxa"/>
            <w:tcBorders>
              <w:bottom w:val="single" w:sz="4" w:space="0" w:color="auto"/>
            </w:tcBorders>
            <w:vAlign w:val="center"/>
            <w:hideMark/>
          </w:tcPr>
          <w:p w14:paraId="386CD7D4" w14:textId="2B0F848B"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536</w:t>
            </w:r>
          </w:p>
        </w:tc>
        <w:tc>
          <w:tcPr>
            <w:tcW w:w="3640" w:type="dxa"/>
            <w:tcBorders>
              <w:bottom w:val="single" w:sz="4" w:space="0" w:color="auto"/>
            </w:tcBorders>
            <w:vAlign w:val="center"/>
            <w:hideMark/>
          </w:tcPr>
          <w:p w14:paraId="42A0ADDE" w14:textId="35A450BA"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TECNOLÓGICO SUPERIOR DE TEPOSCOLULA</w:t>
            </w:r>
          </w:p>
        </w:tc>
        <w:tc>
          <w:tcPr>
            <w:tcW w:w="1559" w:type="dxa"/>
            <w:tcBorders>
              <w:bottom w:val="single" w:sz="4" w:space="0" w:color="auto"/>
            </w:tcBorders>
            <w:vAlign w:val="center"/>
            <w:hideMark/>
          </w:tcPr>
          <w:p w14:paraId="293AECED" w14:textId="64042A4D"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2,355,161 </w:t>
            </w:r>
          </w:p>
        </w:tc>
        <w:tc>
          <w:tcPr>
            <w:tcW w:w="1559" w:type="dxa"/>
            <w:tcBorders>
              <w:bottom w:val="single" w:sz="4" w:space="0" w:color="auto"/>
            </w:tcBorders>
            <w:vAlign w:val="center"/>
            <w:hideMark/>
          </w:tcPr>
          <w:p w14:paraId="549FFA51" w14:textId="6C41914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2,355,061 </w:t>
            </w:r>
          </w:p>
        </w:tc>
        <w:tc>
          <w:tcPr>
            <w:tcW w:w="1701" w:type="dxa"/>
            <w:tcBorders>
              <w:bottom w:val="single" w:sz="4" w:space="0" w:color="auto"/>
            </w:tcBorders>
            <w:vAlign w:val="center"/>
            <w:hideMark/>
          </w:tcPr>
          <w:p w14:paraId="1852D470" w14:textId="3678271C"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100 </w:t>
            </w:r>
          </w:p>
        </w:tc>
      </w:tr>
      <w:tr w:rsidR="00B81758" w:rsidRPr="00C953B4" w14:paraId="27EAD125" w14:textId="77777777" w:rsidTr="00B81758">
        <w:trPr>
          <w:trHeight w:val="315"/>
        </w:trPr>
        <w:tc>
          <w:tcPr>
            <w:tcW w:w="608" w:type="dxa"/>
            <w:tcBorders>
              <w:bottom w:val="single" w:sz="4" w:space="0" w:color="auto"/>
            </w:tcBorders>
            <w:vAlign w:val="center"/>
            <w:hideMark/>
          </w:tcPr>
          <w:p w14:paraId="429507B8" w14:textId="24950A20"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538</w:t>
            </w:r>
          </w:p>
        </w:tc>
        <w:tc>
          <w:tcPr>
            <w:tcW w:w="3640" w:type="dxa"/>
            <w:tcBorders>
              <w:bottom w:val="single" w:sz="4" w:space="0" w:color="auto"/>
            </w:tcBorders>
            <w:vAlign w:val="center"/>
            <w:hideMark/>
          </w:tcPr>
          <w:p w14:paraId="6A5605EB" w14:textId="4102F03D"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NOVAUNIVERSITAS</w:t>
            </w:r>
          </w:p>
        </w:tc>
        <w:tc>
          <w:tcPr>
            <w:tcW w:w="1559" w:type="dxa"/>
            <w:tcBorders>
              <w:bottom w:val="single" w:sz="4" w:space="0" w:color="auto"/>
            </w:tcBorders>
            <w:vAlign w:val="center"/>
            <w:hideMark/>
          </w:tcPr>
          <w:p w14:paraId="012DEDAE" w14:textId="03AD3AF8"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123,181,482 </w:t>
            </w:r>
          </w:p>
        </w:tc>
        <w:tc>
          <w:tcPr>
            <w:tcW w:w="1559" w:type="dxa"/>
            <w:tcBorders>
              <w:bottom w:val="single" w:sz="4" w:space="0" w:color="auto"/>
            </w:tcBorders>
            <w:vAlign w:val="center"/>
            <w:hideMark/>
          </w:tcPr>
          <w:p w14:paraId="5A03CF80" w14:textId="0BAE3686"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123,222,660 </w:t>
            </w:r>
          </w:p>
        </w:tc>
        <w:tc>
          <w:tcPr>
            <w:tcW w:w="1701" w:type="dxa"/>
            <w:tcBorders>
              <w:bottom w:val="single" w:sz="4" w:space="0" w:color="auto"/>
            </w:tcBorders>
            <w:vAlign w:val="center"/>
            <w:hideMark/>
          </w:tcPr>
          <w:p w14:paraId="5F3C508B" w14:textId="534CE2CE"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41,178 </w:t>
            </w:r>
          </w:p>
        </w:tc>
      </w:tr>
      <w:tr w:rsidR="00B81758" w:rsidRPr="00C953B4" w14:paraId="74BA3264" w14:textId="77777777" w:rsidTr="00B81758">
        <w:trPr>
          <w:trHeight w:val="315"/>
        </w:trPr>
        <w:tc>
          <w:tcPr>
            <w:tcW w:w="608" w:type="dxa"/>
            <w:tcBorders>
              <w:top w:val="single" w:sz="4" w:space="0" w:color="auto"/>
              <w:left w:val="single" w:sz="4" w:space="0" w:color="auto"/>
              <w:bottom w:val="single" w:sz="4" w:space="0" w:color="auto"/>
              <w:right w:val="single" w:sz="4" w:space="0" w:color="auto"/>
            </w:tcBorders>
            <w:vAlign w:val="center"/>
          </w:tcPr>
          <w:p w14:paraId="5C973ADD" w14:textId="00C0BC02" w:rsidR="00B81758" w:rsidRPr="00C953B4" w:rsidRDefault="00B81758" w:rsidP="000669E4">
            <w:pPr>
              <w:tabs>
                <w:tab w:val="left" w:pos="7260"/>
              </w:tabs>
              <w:jc w:val="center"/>
              <w:rPr>
                <w:rFonts w:ascii="Montserrat" w:hAnsi="Montserrat"/>
                <w:sz w:val="20"/>
                <w:szCs w:val="20"/>
              </w:rPr>
            </w:pPr>
            <w:r>
              <w:rPr>
                <w:rFonts w:ascii="Montserrat" w:hAnsi="Montserrat" w:cs="Calibri"/>
                <w:color w:val="000000"/>
                <w:sz w:val="20"/>
                <w:szCs w:val="20"/>
              </w:rPr>
              <w:t>539</w:t>
            </w:r>
          </w:p>
        </w:tc>
        <w:tc>
          <w:tcPr>
            <w:tcW w:w="3640" w:type="dxa"/>
            <w:tcBorders>
              <w:top w:val="single" w:sz="4" w:space="0" w:color="auto"/>
              <w:left w:val="single" w:sz="4" w:space="0" w:color="auto"/>
              <w:bottom w:val="single" w:sz="4" w:space="0" w:color="auto"/>
              <w:right w:val="single" w:sz="4" w:space="0" w:color="auto"/>
            </w:tcBorders>
            <w:vAlign w:val="center"/>
          </w:tcPr>
          <w:p w14:paraId="30BA0568" w14:textId="00BCB1C9" w:rsidR="00B81758" w:rsidRPr="00C953B4" w:rsidRDefault="00B81758" w:rsidP="00B81758">
            <w:pPr>
              <w:tabs>
                <w:tab w:val="left" w:pos="7260"/>
              </w:tabs>
              <w:rPr>
                <w:rFonts w:ascii="Montserrat" w:hAnsi="Montserrat"/>
                <w:sz w:val="20"/>
                <w:szCs w:val="20"/>
              </w:rPr>
            </w:pPr>
            <w:r>
              <w:rPr>
                <w:rFonts w:ascii="Montserrat" w:hAnsi="Montserrat" w:cs="Calibri"/>
                <w:color w:val="000000"/>
                <w:sz w:val="20"/>
                <w:szCs w:val="20"/>
              </w:rPr>
              <w:t>SISTEMA OPERADOR DE LOS SERVICIOS DE AGUA POTABLE Y ALCANTARILLADO</w:t>
            </w:r>
          </w:p>
        </w:tc>
        <w:tc>
          <w:tcPr>
            <w:tcW w:w="1559" w:type="dxa"/>
            <w:tcBorders>
              <w:top w:val="single" w:sz="4" w:space="0" w:color="auto"/>
              <w:left w:val="single" w:sz="4" w:space="0" w:color="auto"/>
              <w:bottom w:val="single" w:sz="4" w:space="0" w:color="auto"/>
              <w:right w:val="single" w:sz="4" w:space="0" w:color="auto"/>
            </w:tcBorders>
            <w:vAlign w:val="center"/>
          </w:tcPr>
          <w:p w14:paraId="6B6E2771" w14:textId="6FC8A6DF"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707,291,779 </w:t>
            </w:r>
          </w:p>
        </w:tc>
        <w:tc>
          <w:tcPr>
            <w:tcW w:w="1559" w:type="dxa"/>
            <w:tcBorders>
              <w:top w:val="single" w:sz="4" w:space="0" w:color="auto"/>
              <w:left w:val="single" w:sz="4" w:space="0" w:color="auto"/>
              <w:bottom w:val="single" w:sz="4" w:space="0" w:color="auto"/>
              <w:right w:val="single" w:sz="4" w:space="0" w:color="auto"/>
            </w:tcBorders>
            <w:vAlign w:val="center"/>
          </w:tcPr>
          <w:p w14:paraId="7BEC10E2" w14:textId="65D38F6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707,051,504 </w:t>
            </w:r>
          </w:p>
        </w:tc>
        <w:tc>
          <w:tcPr>
            <w:tcW w:w="1701" w:type="dxa"/>
            <w:tcBorders>
              <w:top w:val="single" w:sz="4" w:space="0" w:color="auto"/>
              <w:left w:val="single" w:sz="4" w:space="0" w:color="auto"/>
              <w:bottom w:val="single" w:sz="4" w:space="0" w:color="auto"/>
              <w:right w:val="single" w:sz="4" w:space="0" w:color="auto"/>
            </w:tcBorders>
            <w:vAlign w:val="center"/>
          </w:tcPr>
          <w:p w14:paraId="2A50B19A" w14:textId="5A615136"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240,275 </w:t>
            </w:r>
          </w:p>
        </w:tc>
      </w:tr>
      <w:tr w:rsidR="00B81758" w:rsidRPr="00C953B4" w14:paraId="646BE569" w14:textId="77777777" w:rsidTr="00B81758">
        <w:trPr>
          <w:trHeight w:val="465"/>
        </w:trPr>
        <w:tc>
          <w:tcPr>
            <w:tcW w:w="608" w:type="dxa"/>
            <w:tcBorders>
              <w:top w:val="single" w:sz="4" w:space="0" w:color="auto"/>
            </w:tcBorders>
            <w:vAlign w:val="center"/>
            <w:hideMark/>
          </w:tcPr>
          <w:p w14:paraId="76663A73" w14:textId="7E0F2CE8"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540</w:t>
            </w:r>
          </w:p>
        </w:tc>
        <w:tc>
          <w:tcPr>
            <w:tcW w:w="3640" w:type="dxa"/>
            <w:tcBorders>
              <w:top w:val="single" w:sz="4" w:space="0" w:color="auto"/>
            </w:tcBorders>
            <w:vAlign w:val="center"/>
            <w:hideMark/>
          </w:tcPr>
          <w:p w14:paraId="4ADD4EF4" w14:textId="127E97AA"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SERVICIOS DE SALUD DE OAXACA</w:t>
            </w:r>
          </w:p>
        </w:tc>
        <w:tc>
          <w:tcPr>
            <w:tcW w:w="1559" w:type="dxa"/>
            <w:tcBorders>
              <w:top w:val="single" w:sz="4" w:space="0" w:color="auto"/>
            </w:tcBorders>
            <w:vAlign w:val="center"/>
            <w:hideMark/>
          </w:tcPr>
          <w:p w14:paraId="272AC62D" w14:textId="1FAA27A1"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7,292,562,237 </w:t>
            </w:r>
          </w:p>
        </w:tc>
        <w:tc>
          <w:tcPr>
            <w:tcW w:w="1559" w:type="dxa"/>
            <w:tcBorders>
              <w:top w:val="single" w:sz="4" w:space="0" w:color="auto"/>
            </w:tcBorders>
            <w:vAlign w:val="center"/>
            <w:hideMark/>
          </w:tcPr>
          <w:p w14:paraId="2F017687" w14:textId="7D76CF69"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7,592,628,112 </w:t>
            </w:r>
          </w:p>
        </w:tc>
        <w:tc>
          <w:tcPr>
            <w:tcW w:w="1701" w:type="dxa"/>
            <w:tcBorders>
              <w:top w:val="single" w:sz="4" w:space="0" w:color="auto"/>
            </w:tcBorders>
            <w:vAlign w:val="center"/>
            <w:hideMark/>
          </w:tcPr>
          <w:p w14:paraId="662CEC23" w14:textId="0BD197A6"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300,065,875 </w:t>
            </w:r>
          </w:p>
        </w:tc>
      </w:tr>
      <w:tr w:rsidR="00B81758" w:rsidRPr="00C953B4" w14:paraId="5A110CF0" w14:textId="77777777" w:rsidTr="00B81758">
        <w:trPr>
          <w:trHeight w:val="315"/>
        </w:trPr>
        <w:tc>
          <w:tcPr>
            <w:tcW w:w="608" w:type="dxa"/>
            <w:vAlign w:val="center"/>
            <w:hideMark/>
          </w:tcPr>
          <w:p w14:paraId="1A4CE029" w14:textId="1CF24EF2"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541</w:t>
            </w:r>
          </w:p>
        </w:tc>
        <w:tc>
          <w:tcPr>
            <w:tcW w:w="3640" w:type="dxa"/>
            <w:vAlign w:val="center"/>
            <w:hideMark/>
          </w:tcPr>
          <w:p w14:paraId="124057C5" w14:textId="1410BCB7"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SISTEMA PARA EL DESARROLLO INTEGRAL DE LA FAMILIA DEL ESTADO DE OAXACA</w:t>
            </w:r>
          </w:p>
        </w:tc>
        <w:tc>
          <w:tcPr>
            <w:tcW w:w="1559" w:type="dxa"/>
            <w:vAlign w:val="center"/>
            <w:hideMark/>
          </w:tcPr>
          <w:p w14:paraId="4973CFFF" w14:textId="05EE7CE3"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438,261,656 </w:t>
            </w:r>
          </w:p>
        </w:tc>
        <w:tc>
          <w:tcPr>
            <w:tcW w:w="1559" w:type="dxa"/>
            <w:vAlign w:val="center"/>
            <w:hideMark/>
          </w:tcPr>
          <w:p w14:paraId="7AFF42A6" w14:textId="61A533DD"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369,717,500 </w:t>
            </w:r>
          </w:p>
        </w:tc>
        <w:tc>
          <w:tcPr>
            <w:tcW w:w="1701" w:type="dxa"/>
            <w:vAlign w:val="center"/>
            <w:hideMark/>
          </w:tcPr>
          <w:p w14:paraId="2DACD26B" w14:textId="1DAAD12E"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68,544,155 </w:t>
            </w:r>
          </w:p>
        </w:tc>
      </w:tr>
      <w:tr w:rsidR="00B81758" w:rsidRPr="00C953B4" w14:paraId="55C1907C" w14:textId="77777777" w:rsidTr="00B81758">
        <w:trPr>
          <w:trHeight w:val="465"/>
        </w:trPr>
        <w:tc>
          <w:tcPr>
            <w:tcW w:w="608" w:type="dxa"/>
            <w:vAlign w:val="center"/>
            <w:hideMark/>
          </w:tcPr>
          <w:p w14:paraId="5B2A4A9F" w14:textId="7564ADF6"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542</w:t>
            </w:r>
          </w:p>
        </w:tc>
        <w:tc>
          <w:tcPr>
            <w:tcW w:w="3640" w:type="dxa"/>
            <w:vAlign w:val="center"/>
            <w:hideMark/>
          </w:tcPr>
          <w:p w14:paraId="007DA423" w14:textId="7354AD7E"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DE CHALCATONGO</w:t>
            </w:r>
          </w:p>
        </w:tc>
        <w:tc>
          <w:tcPr>
            <w:tcW w:w="1559" w:type="dxa"/>
            <w:vAlign w:val="center"/>
            <w:hideMark/>
          </w:tcPr>
          <w:p w14:paraId="6F0E752E" w14:textId="26081E47"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131,520,502 </w:t>
            </w:r>
          </w:p>
        </w:tc>
        <w:tc>
          <w:tcPr>
            <w:tcW w:w="1559" w:type="dxa"/>
            <w:vAlign w:val="center"/>
            <w:hideMark/>
          </w:tcPr>
          <w:p w14:paraId="18B254D5" w14:textId="7F2F7AEB"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131,630,976 </w:t>
            </w:r>
          </w:p>
        </w:tc>
        <w:tc>
          <w:tcPr>
            <w:tcW w:w="1701" w:type="dxa"/>
            <w:vAlign w:val="center"/>
            <w:hideMark/>
          </w:tcPr>
          <w:p w14:paraId="0C6D3CC9" w14:textId="18D03045"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110,474 </w:t>
            </w:r>
          </w:p>
        </w:tc>
      </w:tr>
      <w:tr w:rsidR="00B81758" w:rsidRPr="00C953B4" w14:paraId="06F3B5EA" w14:textId="77777777" w:rsidTr="00B81758">
        <w:trPr>
          <w:trHeight w:val="315"/>
        </w:trPr>
        <w:tc>
          <w:tcPr>
            <w:tcW w:w="608" w:type="dxa"/>
            <w:vAlign w:val="center"/>
            <w:hideMark/>
          </w:tcPr>
          <w:p w14:paraId="7DD0B7FD" w14:textId="340FBE5F"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543</w:t>
            </w:r>
          </w:p>
        </w:tc>
        <w:tc>
          <w:tcPr>
            <w:tcW w:w="3640" w:type="dxa"/>
            <w:vAlign w:val="center"/>
            <w:hideMark/>
          </w:tcPr>
          <w:p w14:paraId="4B2F6809" w14:textId="3B5314CF"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DE LA CAÑADA</w:t>
            </w:r>
          </w:p>
        </w:tc>
        <w:tc>
          <w:tcPr>
            <w:tcW w:w="1559" w:type="dxa"/>
            <w:vAlign w:val="center"/>
            <w:hideMark/>
          </w:tcPr>
          <w:p w14:paraId="74B6F64F" w14:textId="2B931198"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127,911,829 </w:t>
            </w:r>
          </w:p>
        </w:tc>
        <w:tc>
          <w:tcPr>
            <w:tcW w:w="1559" w:type="dxa"/>
            <w:vAlign w:val="center"/>
            <w:hideMark/>
          </w:tcPr>
          <w:p w14:paraId="2A143B1F" w14:textId="12D641FA"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128,506,063 </w:t>
            </w:r>
          </w:p>
        </w:tc>
        <w:tc>
          <w:tcPr>
            <w:tcW w:w="1701" w:type="dxa"/>
            <w:vAlign w:val="center"/>
            <w:hideMark/>
          </w:tcPr>
          <w:p w14:paraId="652CE901" w14:textId="6086B0DE"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594,234 </w:t>
            </w:r>
          </w:p>
        </w:tc>
      </w:tr>
      <w:tr w:rsidR="00B81758" w:rsidRPr="00C953B4" w14:paraId="4CA798FB" w14:textId="77777777" w:rsidTr="00B81758">
        <w:trPr>
          <w:trHeight w:val="315"/>
        </w:trPr>
        <w:tc>
          <w:tcPr>
            <w:tcW w:w="608" w:type="dxa"/>
            <w:vAlign w:val="center"/>
            <w:hideMark/>
          </w:tcPr>
          <w:p w14:paraId="4E9690B9" w14:textId="2D1C37F9"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544</w:t>
            </w:r>
          </w:p>
        </w:tc>
        <w:tc>
          <w:tcPr>
            <w:tcW w:w="3640" w:type="dxa"/>
            <w:vAlign w:val="center"/>
            <w:hideMark/>
          </w:tcPr>
          <w:p w14:paraId="013AE453" w14:textId="33B20FED"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DE LA COSTA</w:t>
            </w:r>
          </w:p>
        </w:tc>
        <w:tc>
          <w:tcPr>
            <w:tcW w:w="1559" w:type="dxa"/>
            <w:vAlign w:val="center"/>
            <w:hideMark/>
          </w:tcPr>
          <w:p w14:paraId="4B55F2D5" w14:textId="383CBA85"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105,988,764 </w:t>
            </w:r>
          </w:p>
        </w:tc>
        <w:tc>
          <w:tcPr>
            <w:tcW w:w="1559" w:type="dxa"/>
            <w:vAlign w:val="center"/>
            <w:hideMark/>
          </w:tcPr>
          <w:p w14:paraId="3B51B570" w14:textId="6872815F"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105,988,764 </w:t>
            </w:r>
          </w:p>
        </w:tc>
        <w:tc>
          <w:tcPr>
            <w:tcW w:w="1701" w:type="dxa"/>
            <w:vAlign w:val="center"/>
            <w:hideMark/>
          </w:tcPr>
          <w:p w14:paraId="48AA69BF" w14:textId="6648F8E8"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r>
      <w:tr w:rsidR="00B81758" w:rsidRPr="00C953B4" w14:paraId="1D36111A" w14:textId="77777777" w:rsidTr="00B81758">
        <w:trPr>
          <w:trHeight w:val="315"/>
        </w:trPr>
        <w:tc>
          <w:tcPr>
            <w:tcW w:w="608" w:type="dxa"/>
            <w:vAlign w:val="center"/>
            <w:hideMark/>
          </w:tcPr>
          <w:p w14:paraId="54A4B1CB" w14:textId="0B4E79B5"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545</w:t>
            </w:r>
          </w:p>
        </w:tc>
        <w:tc>
          <w:tcPr>
            <w:tcW w:w="3640" w:type="dxa"/>
            <w:vAlign w:val="center"/>
            <w:hideMark/>
          </w:tcPr>
          <w:p w14:paraId="4D45A611" w14:textId="78A3532C"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DE LA SIERRA JUÁREZ</w:t>
            </w:r>
          </w:p>
        </w:tc>
        <w:tc>
          <w:tcPr>
            <w:tcW w:w="1559" w:type="dxa"/>
            <w:vAlign w:val="center"/>
            <w:hideMark/>
          </w:tcPr>
          <w:p w14:paraId="0400B48B" w14:textId="1740FB7B"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103,553,406 </w:t>
            </w:r>
          </w:p>
        </w:tc>
        <w:tc>
          <w:tcPr>
            <w:tcW w:w="1559" w:type="dxa"/>
            <w:vAlign w:val="center"/>
            <w:hideMark/>
          </w:tcPr>
          <w:p w14:paraId="2A1AEE39" w14:textId="4528608C"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103,520,537 </w:t>
            </w:r>
          </w:p>
        </w:tc>
        <w:tc>
          <w:tcPr>
            <w:tcW w:w="1701" w:type="dxa"/>
            <w:vAlign w:val="center"/>
            <w:hideMark/>
          </w:tcPr>
          <w:p w14:paraId="6631BD3F" w14:textId="5733735B"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32,869 </w:t>
            </w:r>
          </w:p>
        </w:tc>
      </w:tr>
      <w:tr w:rsidR="00B81758" w:rsidRPr="00C953B4" w14:paraId="2B8731F5" w14:textId="77777777" w:rsidTr="00B81758">
        <w:trPr>
          <w:trHeight w:val="315"/>
        </w:trPr>
        <w:tc>
          <w:tcPr>
            <w:tcW w:w="608" w:type="dxa"/>
            <w:vAlign w:val="center"/>
            <w:hideMark/>
          </w:tcPr>
          <w:p w14:paraId="3E3AC58C" w14:textId="4AB3EDD0"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546</w:t>
            </w:r>
          </w:p>
        </w:tc>
        <w:tc>
          <w:tcPr>
            <w:tcW w:w="3640" w:type="dxa"/>
            <w:vAlign w:val="center"/>
            <w:hideMark/>
          </w:tcPr>
          <w:p w14:paraId="6FB9610D" w14:textId="54B6F456"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DE LA SIERRA SUR</w:t>
            </w:r>
          </w:p>
        </w:tc>
        <w:tc>
          <w:tcPr>
            <w:tcW w:w="1559" w:type="dxa"/>
            <w:vAlign w:val="center"/>
            <w:hideMark/>
          </w:tcPr>
          <w:p w14:paraId="35CD1DB8" w14:textId="171288EE"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344,822,054 </w:t>
            </w:r>
          </w:p>
        </w:tc>
        <w:tc>
          <w:tcPr>
            <w:tcW w:w="1559" w:type="dxa"/>
            <w:vAlign w:val="center"/>
            <w:hideMark/>
          </w:tcPr>
          <w:p w14:paraId="18F9E833" w14:textId="35B9BD01"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347,552,284 </w:t>
            </w:r>
          </w:p>
        </w:tc>
        <w:tc>
          <w:tcPr>
            <w:tcW w:w="1701" w:type="dxa"/>
            <w:vAlign w:val="center"/>
            <w:hideMark/>
          </w:tcPr>
          <w:p w14:paraId="464DA386" w14:textId="61BB714A"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2,730,229 </w:t>
            </w:r>
          </w:p>
        </w:tc>
      </w:tr>
      <w:tr w:rsidR="00B81758" w:rsidRPr="00C953B4" w14:paraId="075BAC15" w14:textId="77777777" w:rsidTr="00B81758">
        <w:trPr>
          <w:trHeight w:val="315"/>
        </w:trPr>
        <w:tc>
          <w:tcPr>
            <w:tcW w:w="608" w:type="dxa"/>
            <w:vAlign w:val="center"/>
            <w:hideMark/>
          </w:tcPr>
          <w:p w14:paraId="7C945B84" w14:textId="0DD0D2D4"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547</w:t>
            </w:r>
          </w:p>
        </w:tc>
        <w:tc>
          <w:tcPr>
            <w:tcW w:w="3640" w:type="dxa"/>
            <w:vAlign w:val="center"/>
            <w:hideMark/>
          </w:tcPr>
          <w:p w14:paraId="6287DD26" w14:textId="494688B7"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DEL ISTMO</w:t>
            </w:r>
          </w:p>
        </w:tc>
        <w:tc>
          <w:tcPr>
            <w:tcW w:w="1559" w:type="dxa"/>
            <w:vAlign w:val="center"/>
            <w:hideMark/>
          </w:tcPr>
          <w:p w14:paraId="113BE0EF" w14:textId="6CB6632B"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334,970,765 </w:t>
            </w:r>
          </w:p>
        </w:tc>
        <w:tc>
          <w:tcPr>
            <w:tcW w:w="1559" w:type="dxa"/>
            <w:vAlign w:val="center"/>
            <w:hideMark/>
          </w:tcPr>
          <w:p w14:paraId="4130FA67" w14:textId="2E546B43"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333,796,827 </w:t>
            </w:r>
          </w:p>
        </w:tc>
        <w:tc>
          <w:tcPr>
            <w:tcW w:w="1701" w:type="dxa"/>
            <w:vAlign w:val="center"/>
            <w:hideMark/>
          </w:tcPr>
          <w:p w14:paraId="0F03297F" w14:textId="4DADE08B"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,173,938 </w:t>
            </w:r>
          </w:p>
        </w:tc>
      </w:tr>
      <w:tr w:rsidR="00B81758" w:rsidRPr="00C953B4" w14:paraId="733D1F35" w14:textId="77777777" w:rsidTr="00B81758">
        <w:trPr>
          <w:trHeight w:val="315"/>
        </w:trPr>
        <w:tc>
          <w:tcPr>
            <w:tcW w:w="608" w:type="dxa"/>
            <w:vAlign w:val="center"/>
            <w:hideMark/>
          </w:tcPr>
          <w:p w14:paraId="62E544EB" w14:textId="4FD62F67"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548</w:t>
            </w:r>
          </w:p>
        </w:tc>
        <w:tc>
          <w:tcPr>
            <w:tcW w:w="3640" w:type="dxa"/>
            <w:vAlign w:val="center"/>
            <w:hideMark/>
          </w:tcPr>
          <w:p w14:paraId="1091DA6B" w14:textId="0736AB7B"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DEL MAR</w:t>
            </w:r>
          </w:p>
        </w:tc>
        <w:tc>
          <w:tcPr>
            <w:tcW w:w="1559" w:type="dxa"/>
            <w:vAlign w:val="center"/>
            <w:hideMark/>
          </w:tcPr>
          <w:p w14:paraId="4674F5B1" w14:textId="31B50AC4"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520,374,883 </w:t>
            </w:r>
          </w:p>
        </w:tc>
        <w:tc>
          <w:tcPr>
            <w:tcW w:w="1559" w:type="dxa"/>
            <w:vAlign w:val="center"/>
            <w:hideMark/>
          </w:tcPr>
          <w:p w14:paraId="10025155" w14:textId="60C5AA68"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526,208,531 </w:t>
            </w:r>
          </w:p>
        </w:tc>
        <w:tc>
          <w:tcPr>
            <w:tcW w:w="1701" w:type="dxa"/>
            <w:vAlign w:val="center"/>
            <w:hideMark/>
          </w:tcPr>
          <w:p w14:paraId="43F6EF0A" w14:textId="3BB8CAD3"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5,833,648 </w:t>
            </w:r>
          </w:p>
        </w:tc>
      </w:tr>
      <w:tr w:rsidR="00B81758" w:rsidRPr="00C953B4" w14:paraId="15168BF7" w14:textId="77777777" w:rsidTr="00B81758">
        <w:trPr>
          <w:trHeight w:val="315"/>
        </w:trPr>
        <w:tc>
          <w:tcPr>
            <w:tcW w:w="608" w:type="dxa"/>
            <w:vAlign w:val="center"/>
            <w:hideMark/>
          </w:tcPr>
          <w:p w14:paraId="0AE32686" w14:textId="4FF8DCD8"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549</w:t>
            </w:r>
          </w:p>
        </w:tc>
        <w:tc>
          <w:tcPr>
            <w:tcW w:w="3640" w:type="dxa"/>
            <w:vAlign w:val="center"/>
            <w:hideMark/>
          </w:tcPr>
          <w:p w14:paraId="4749964E" w14:textId="5D1C148A"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DEL PAPALOAPAN</w:t>
            </w:r>
          </w:p>
        </w:tc>
        <w:tc>
          <w:tcPr>
            <w:tcW w:w="1559" w:type="dxa"/>
            <w:vAlign w:val="center"/>
            <w:hideMark/>
          </w:tcPr>
          <w:p w14:paraId="6D180DF1" w14:textId="60120CD1"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225,413,837 </w:t>
            </w:r>
          </w:p>
        </w:tc>
        <w:tc>
          <w:tcPr>
            <w:tcW w:w="1559" w:type="dxa"/>
            <w:vAlign w:val="center"/>
            <w:hideMark/>
          </w:tcPr>
          <w:p w14:paraId="4EDBCE10" w14:textId="6FA41008"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224,829,294 </w:t>
            </w:r>
          </w:p>
        </w:tc>
        <w:tc>
          <w:tcPr>
            <w:tcW w:w="1701" w:type="dxa"/>
            <w:vAlign w:val="center"/>
            <w:hideMark/>
          </w:tcPr>
          <w:p w14:paraId="617D0ADC" w14:textId="6549B535"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584,542 </w:t>
            </w:r>
          </w:p>
        </w:tc>
      </w:tr>
      <w:tr w:rsidR="00B81758" w:rsidRPr="00C953B4" w14:paraId="4C9043A4" w14:textId="77777777" w:rsidTr="00B81758">
        <w:trPr>
          <w:trHeight w:val="315"/>
        </w:trPr>
        <w:tc>
          <w:tcPr>
            <w:tcW w:w="608" w:type="dxa"/>
            <w:vAlign w:val="center"/>
            <w:hideMark/>
          </w:tcPr>
          <w:p w14:paraId="1D0447BE" w14:textId="42E56391"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550</w:t>
            </w:r>
          </w:p>
        </w:tc>
        <w:tc>
          <w:tcPr>
            <w:tcW w:w="3640" w:type="dxa"/>
            <w:vAlign w:val="center"/>
            <w:hideMark/>
          </w:tcPr>
          <w:p w14:paraId="484102AA" w14:textId="56DFACDB"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TECNOLÓGICA DE LA MIXTECA</w:t>
            </w:r>
          </w:p>
        </w:tc>
        <w:tc>
          <w:tcPr>
            <w:tcW w:w="1559" w:type="dxa"/>
            <w:vAlign w:val="center"/>
            <w:hideMark/>
          </w:tcPr>
          <w:p w14:paraId="011007E8" w14:textId="4184AF00"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275,299,097 </w:t>
            </w:r>
          </w:p>
        </w:tc>
        <w:tc>
          <w:tcPr>
            <w:tcW w:w="1559" w:type="dxa"/>
            <w:vAlign w:val="center"/>
            <w:hideMark/>
          </w:tcPr>
          <w:p w14:paraId="5F0C0215" w14:textId="3F0DC1B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270,863,680 </w:t>
            </w:r>
          </w:p>
        </w:tc>
        <w:tc>
          <w:tcPr>
            <w:tcW w:w="1701" w:type="dxa"/>
            <w:vAlign w:val="center"/>
            <w:hideMark/>
          </w:tcPr>
          <w:p w14:paraId="6AB8BF50" w14:textId="519004C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4,435,417 </w:t>
            </w:r>
          </w:p>
        </w:tc>
      </w:tr>
      <w:tr w:rsidR="00B81758" w:rsidRPr="00C953B4" w14:paraId="7E80F3E1" w14:textId="77777777" w:rsidTr="00B81758">
        <w:trPr>
          <w:trHeight w:val="315"/>
        </w:trPr>
        <w:tc>
          <w:tcPr>
            <w:tcW w:w="608" w:type="dxa"/>
            <w:vAlign w:val="center"/>
            <w:hideMark/>
          </w:tcPr>
          <w:p w14:paraId="557FD3C7" w14:textId="0148DB78"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lastRenderedPageBreak/>
              <w:t>551</w:t>
            </w:r>
          </w:p>
        </w:tc>
        <w:tc>
          <w:tcPr>
            <w:tcW w:w="3640" w:type="dxa"/>
            <w:vAlign w:val="center"/>
            <w:hideMark/>
          </w:tcPr>
          <w:p w14:paraId="23EC5408" w14:textId="33DB6CAC"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TECNOLÓGICA DE LA SIERRA SUR DE OAXACA</w:t>
            </w:r>
          </w:p>
        </w:tc>
        <w:tc>
          <w:tcPr>
            <w:tcW w:w="1559" w:type="dxa"/>
            <w:vAlign w:val="center"/>
            <w:hideMark/>
          </w:tcPr>
          <w:p w14:paraId="3C608F79" w14:textId="4CC7B8CA"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7,544,093 </w:t>
            </w:r>
          </w:p>
        </w:tc>
        <w:tc>
          <w:tcPr>
            <w:tcW w:w="1559" w:type="dxa"/>
            <w:vAlign w:val="center"/>
            <w:hideMark/>
          </w:tcPr>
          <w:p w14:paraId="5F6CE341" w14:textId="1DAF9836"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7,544,093 </w:t>
            </w:r>
          </w:p>
        </w:tc>
        <w:tc>
          <w:tcPr>
            <w:tcW w:w="1701" w:type="dxa"/>
            <w:vAlign w:val="center"/>
            <w:hideMark/>
          </w:tcPr>
          <w:p w14:paraId="6F572DB2" w14:textId="0DF78C5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r>
      <w:tr w:rsidR="00B81758" w:rsidRPr="00C953B4" w14:paraId="3B19F022" w14:textId="77777777" w:rsidTr="00B81758">
        <w:trPr>
          <w:trHeight w:val="315"/>
        </w:trPr>
        <w:tc>
          <w:tcPr>
            <w:tcW w:w="608" w:type="dxa"/>
            <w:vAlign w:val="center"/>
            <w:hideMark/>
          </w:tcPr>
          <w:p w14:paraId="3419066F" w14:textId="69C736E8"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552</w:t>
            </w:r>
          </w:p>
        </w:tc>
        <w:tc>
          <w:tcPr>
            <w:tcW w:w="3640" w:type="dxa"/>
            <w:vAlign w:val="center"/>
            <w:hideMark/>
          </w:tcPr>
          <w:p w14:paraId="3F18A85E" w14:textId="7AF8F650"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TECNOLÓGICA DE LOS VALLES CENTRALES DE OAXACA</w:t>
            </w:r>
          </w:p>
        </w:tc>
        <w:tc>
          <w:tcPr>
            <w:tcW w:w="1559" w:type="dxa"/>
            <w:vAlign w:val="center"/>
            <w:hideMark/>
          </w:tcPr>
          <w:p w14:paraId="2FFFE209" w14:textId="62BC45FE"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83,406,137 </w:t>
            </w:r>
          </w:p>
        </w:tc>
        <w:tc>
          <w:tcPr>
            <w:tcW w:w="1559" w:type="dxa"/>
            <w:vAlign w:val="center"/>
            <w:hideMark/>
          </w:tcPr>
          <w:p w14:paraId="068F3C7A" w14:textId="62E1D55D"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82,666,002 </w:t>
            </w:r>
          </w:p>
        </w:tc>
        <w:tc>
          <w:tcPr>
            <w:tcW w:w="1701" w:type="dxa"/>
            <w:vAlign w:val="center"/>
            <w:hideMark/>
          </w:tcPr>
          <w:p w14:paraId="400FD98E" w14:textId="77502222"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740,135 </w:t>
            </w:r>
          </w:p>
        </w:tc>
      </w:tr>
      <w:tr w:rsidR="00B81758" w:rsidRPr="00C953B4" w14:paraId="0CB2EC1F" w14:textId="77777777" w:rsidTr="00B81758">
        <w:trPr>
          <w:trHeight w:val="465"/>
        </w:trPr>
        <w:tc>
          <w:tcPr>
            <w:tcW w:w="608" w:type="dxa"/>
            <w:tcBorders>
              <w:bottom w:val="single" w:sz="4" w:space="0" w:color="auto"/>
            </w:tcBorders>
            <w:vAlign w:val="center"/>
            <w:hideMark/>
          </w:tcPr>
          <w:p w14:paraId="6D1E1021" w14:textId="582D2823"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554</w:t>
            </w:r>
          </w:p>
        </w:tc>
        <w:tc>
          <w:tcPr>
            <w:tcW w:w="3640" w:type="dxa"/>
            <w:tcBorders>
              <w:bottom w:val="single" w:sz="4" w:space="0" w:color="auto"/>
            </w:tcBorders>
            <w:vAlign w:val="center"/>
            <w:hideMark/>
          </w:tcPr>
          <w:p w14:paraId="355DC2A4" w14:textId="0C3282E3"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DEFENSORÍA PÚBLICA DEL ESTADO DE OAXACA</w:t>
            </w:r>
          </w:p>
        </w:tc>
        <w:tc>
          <w:tcPr>
            <w:tcW w:w="1559" w:type="dxa"/>
            <w:tcBorders>
              <w:bottom w:val="single" w:sz="4" w:space="0" w:color="auto"/>
            </w:tcBorders>
            <w:vAlign w:val="center"/>
            <w:hideMark/>
          </w:tcPr>
          <w:p w14:paraId="6900E2C5" w14:textId="0BCA30CE"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2,925,395 </w:t>
            </w:r>
          </w:p>
        </w:tc>
        <w:tc>
          <w:tcPr>
            <w:tcW w:w="1559" w:type="dxa"/>
            <w:tcBorders>
              <w:bottom w:val="single" w:sz="4" w:space="0" w:color="auto"/>
            </w:tcBorders>
            <w:vAlign w:val="center"/>
            <w:hideMark/>
          </w:tcPr>
          <w:p w14:paraId="62088D8F" w14:textId="36470DCC"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2,371,248 </w:t>
            </w:r>
          </w:p>
        </w:tc>
        <w:tc>
          <w:tcPr>
            <w:tcW w:w="1701" w:type="dxa"/>
            <w:tcBorders>
              <w:bottom w:val="single" w:sz="4" w:space="0" w:color="auto"/>
            </w:tcBorders>
            <w:vAlign w:val="center"/>
            <w:hideMark/>
          </w:tcPr>
          <w:p w14:paraId="7D2B99A9" w14:textId="440F8333"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554,147 </w:t>
            </w:r>
          </w:p>
        </w:tc>
      </w:tr>
      <w:tr w:rsidR="00B81758" w:rsidRPr="00C953B4" w14:paraId="3360DC56" w14:textId="77777777" w:rsidTr="00B81758">
        <w:trPr>
          <w:trHeight w:val="315"/>
        </w:trPr>
        <w:tc>
          <w:tcPr>
            <w:tcW w:w="608" w:type="dxa"/>
            <w:tcBorders>
              <w:bottom w:val="single" w:sz="4" w:space="0" w:color="auto"/>
            </w:tcBorders>
            <w:vAlign w:val="center"/>
            <w:hideMark/>
          </w:tcPr>
          <w:p w14:paraId="47192153" w14:textId="1AB60C0B"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555</w:t>
            </w:r>
          </w:p>
        </w:tc>
        <w:tc>
          <w:tcPr>
            <w:tcW w:w="3640" w:type="dxa"/>
            <w:tcBorders>
              <w:bottom w:val="single" w:sz="4" w:space="0" w:color="auto"/>
            </w:tcBorders>
            <w:vAlign w:val="center"/>
            <w:hideMark/>
          </w:tcPr>
          <w:p w14:paraId="2A20529B" w14:textId="6459A000"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OAXAQUEÑO DEL EMPRENDEDOR Y DE LA COMPETITIVIDAD</w:t>
            </w:r>
          </w:p>
        </w:tc>
        <w:tc>
          <w:tcPr>
            <w:tcW w:w="1559" w:type="dxa"/>
            <w:tcBorders>
              <w:bottom w:val="single" w:sz="4" w:space="0" w:color="auto"/>
            </w:tcBorders>
            <w:vAlign w:val="center"/>
            <w:hideMark/>
          </w:tcPr>
          <w:p w14:paraId="350DDBE7" w14:textId="48D40838"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545,828 </w:t>
            </w:r>
          </w:p>
        </w:tc>
        <w:tc>
          <w:tcPr>
            <w:tcW w:w="1559" w:type="dxa"/>
            <w:tcBorders>
              <w:bottom w:val="single" w:sz="4" w:space="0" w:color="auto"/>
            </w:tcBorders>
            <w:vAlign w:val="center"/>
            <w:hideMark/>
          </w:tcPr>
          <w:p w14:paraId="6FB9ED5B" w14:textId="494881C0"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c>
          <w:tcPr>
            <w:tcW w:w="1701" w:type="dxa"/>
            <w:tcBorders>
              <w:bottom w:val="single" w:sz="4" w:space="0" w:color="auto"/>
            </w:tcBorders>
            <w:vAlign w:val="center"/>
            <w:hideMark/>
          </w:tcPr>
          <w:p w14:paraId="4AD39DFD" w14:textId="0E30FB3E"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545,828 </w:t>
            </w:r>
          </w:p>
        </w:tc>
      </w:tr>
      <w:tr w:rsidR="00B81758" w:rsidRPr="00C953B4" w14:paraId="229A7756" w14:textId="77777777" w:rsidTr="00B81758">
        <w:trPr>
          <w:trHeight w:val="315"/>
        </w:trPr>
        <w:tc>
          <w:tcPr>
            <w:tcW w:w="608" w:type="dxa"/>
            <w:tcBorders>
              <w:top w:val="single" w:sz="4" w:space="0" w:color="auto"/>
              <w:left w:val="single" w:sz="4" w:space="0" w:color="auto"/>
              <w:bottom w:val="single" w:sz="4" w:space="0" w:color="auto"/>
              <w:right w:val="single" w:sz="4" w:space="0" w:color="auto"/>
            </w:tcBorders>
            <w:vAlign w:val="center"/>
          </w:tcPr>
          <w:p w14:paraId="050ED175" w14:textId="545935A9" w:rsidR="00B81758" w:rsidRPr="00C953B4" w:rsidRDefault="00B81758" w:rsidP="000669E4">
            <w:pPr>
              <w:tabs>
                <w:tab w:val="left" w:pos="7260"/>
              </w:tabs>
              <w:jc w:val="center"/>
              <w:rPr>
                <w:rFonts w:ascii="Montserrat" w:hAnsi="Montserrat"/>
                <w:sz w:val="20"/>
                <w:szCs w:val="20"/>
              </w:rPr>
            </w:pPr>
            <w:r>
              <w:rPr>
                <w:rFonts w:ascii="Montserrat" w:hAnsi="Montserrat" w:cs="Calibri"/>
                <w:color w:val="000000"/>
                <w:sz w:val="20"/>
                <w:szCs w:val="20"/>
              </w:rPr>
              <w:t>558</w:t>
            </w:r>
          </w:p>
        </w:tc>
        <w:tc>
          <w:tcPr>
            <w:tcW w:w="3640" w:type="dxa"/>
            <w:tcBorders>
              <w:top w:val="single" w:sz="4" w:space="0" w:color="auto"/>
              <w:left w:val="single" w:sz="4" w:space="0" w:color="auto"/>
              <w:bottom w:val="single" w:sz="4" w:space="0" w:color="auto"/>
              <w:right w:val="single" w:sz="4" w:space="0" w:color="auto"/>
            </w:tcBorders>
            <w:vAlign w:val="center"/>
          </w:tcPr>
          <w:p w14:paraId="24862649" w14:textId="45C4CED6" w:rsidR="00B81758" w:rsidRPr="00C953B4" w:rsidRDefault="00B81758" w:rsidP="00B81758">
            <w:pPr>
              <w:tabs>
                <w:tab w:val="left" w:pos="7260"/>
              </w:tabs>
              <w:rPr>
                <w:rFonts w:ascii="Montserrat" w:hAnsi="Montserrat"/>
                <w:sz w:val="20"/>
                <w:szCs w:val="20"/>
              </w:rPr>
            </w:pPr>
            <w:r>
              <w:rPr>
                <w:rFonts w:ascii="Montserrat" w:hAnsi="Montserrat" w:cs="Calibri"/>
                <w:color w:val="000000"/>
                <w:sz w:val="20"/>
                <w:szCs w:val="20"/>
              </w:rPr>
              <w:t>INSTITUTO DE LA FUNCIÓN REGISTRAL DEL ESTADO DE OAXACA</w:t>
            </w:r>
          </w:p>
        </w:tc>
        <w:tc>
          <w:tcPr>
            <w:tcW w:w="1559" w:type="dxa"/>
            <w:tcBorders>
              <w:top w:val="single" w:sz="4" w:space="0" w:color="auto"/>
              <w:left w:val="single" w:sz="4" w:space="0" w:color="auto"/>
              <w:bottom w:val="single" w:sz="4" w:space="0" w:color="auto"/>
              <w:right w:val="single" w:sz="4" w:space="0" w:color="auto"/>
            </w:tcBorders>
            <w:vAlign w:val="center"/>
          </w:tcPr>
          <w:p w14:paraId="49777B83" w14:textId="46D807F9"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30,841,293 </w:t>
            </w:r>
          </w:p>
        </w:tc>
        <w:tc>
          <w:tcPr>
            <w:tcW w:w="1559" w:type="dxa"/>
            <w:tcBorders>
              <w:top w:val="single" w:sz="4" w:space="0" w:color="auto"/>
              <w:left w:val="single" w:sz="4" w:space="0" w:color="auto"/>
              <w:bottom w:val="single" w:sz="4" w:space="0" w:color="auto"/>
              <w:right w:val="single" w:sz="4" w:space="0" w:color="auto"/>
            </w:tcBorders>
            <w:vAlign w:val="center"/>
          </w:tcPr>
          <w:p w14:paraId="07CA24E3" w14:textId="1A17EB22"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30,841,293 </w:t>
            </w:r>
          </w:p>
        </w:tc>
        <w:tc>
          <w:tcPr>
            <w:tcW w:w="1701" w:type="dxa"/>
            <w:tcBorders>
              <w:top w:val="single" w:sz="4" w:space="0" w:color="auto"/>
              <w:left w:val="single" w:sz="4" w:space="0" w:color="auto"/>
              <w:bottom w:val="single" w:sz="4" w:space="0" w:color="auto"/>
              <w:right w:val="single" w:sz="4" w:space="0" w:color="auto"/>
            </w:tcBorders>
            <w:vAlign w:val="center"/>
          </w:tcPr>
          <w:p w14:paraId="70F5D933" w14:textId="324884C1"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r>
      <w:tr w:rsidR="00B81758" w:rsidRPr="00C953B4" w14:paraId="373F2720" w14:textId="77777777" w:rsidTr="00B81758">
        <w:trPr>
          <w:trHeight w:val="465"/>
        </w:trPr>
        <w:tc>
          <w:tcPr>
            <w:tcW w:w="608" w:type="dxa"/>
            <w:tcBorders>
              <w:top w:val="single" w:sz="4" w:space="0" w:color="auto"/>
            </w:tcBorders>
            <w:vAlign w:val="center"/>
            <w:hideMark/>
          </w:tcPr>
          <w:p w14:paraId="25F19886" w14:textId="68091376"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559</w:t>
            </w:r>
          </w:p>
        </w:tc>
        <w:tc>
          <w:tcPr>
            <w:tcW w:w="3640" w:type="dxa"/>
            <w:tcBorders>
              <w:top w:val="single" w:sz="4" w:space="0" w:color="auto"/>
            </w:tcBorders>
            <w:vAlign w:val="center"/>
            <w:hideMark/>
          </w:tcPr>
          <w:p w14:paraId="407518E2" w14:textId="0D90592E"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SECRETARÍA EJECUTIVA DEL SISTEMA ESTATAL DE COMBATE A LA CORRUPCIÓN</w:t>
            </w:r>
          </w:p>
        </w:tc>
        <w:tc>
          <w:tcPr>
            <w:tcW w:w="1559" w:type="dxa"/>
            <w:tcBorders>
              <w:top w:val="single" w:sz="4" w:space="0" w:color="auto"/>
            </w:tcBorders>
            <w:vAlign w:val="center"/>
            <w:hideMark/>
          </w:tcPr>
          <w:p w14:paraId="67486586" w14:textId="45DCE4B1"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825,832 </w:t>
            </w:r>
          </w:p>
        </w:tc>
        <w:tc>
          <w:tcPr>
            <w:tcW w:w="1559" w:type="dxa"/>
            <w:tcBorders>
              <w:top w:val="single" w:sz="4" w:space="0" w:color="auto"/>
            </w:tcBorders>
            <w:vAlign w:val="center"/>
            <w:hideMark/>
          </w:tcPr>
          <w:p w14:paraId="5F6BB433" w14:textId="101A0C89"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825,355 </w:t>
            </w:r>
          </w:p>
        </w:tc>
        <w:tc>
          <w:tcPr>
            <w:tcW w:w="1701" w:type="dxa"/>
            <w:tcBorders>
              <w:top w:val="single" w:sz="4" w:space="0" w:color="auto"/>
            </w:tcBorders>
            <w:vAlign w:val="center"/>
            <w:hideMark/>
          </w:tcPr>
          <w:p w14:paraId="41ECDF4B" w14:textId="764FFD3A"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477 </w:t>
            </w:r>
          </w:p>
        </w:tc>
      </w:tr>
      <w:tr w:rsidR="00B81758" w:rsidRPr="00C953B4" w14:paraId="13B9EF38" w14:textId="77777777" w:rsidTr="00B81758">
        <w:trPr>
          <w:trHeight w:val="315"/>
        </w:trPr>
        <w:tc>
          <w:tcPr>
            <w:tcW w:w="608" w:type="dxa"/>
            <w:vAlign w:val="center"/>
            <w:hideMark/>
          </w:tcPr>
          <w:p w14:paraId="0CCCB92A" w14:textId="5137CFA3"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561</w:t>
            </w:r>
          </w:p>
        </w:tc>
        <w:tc>
          <w:tcPr>
            <w:tcW w:w="3640" w:type="dxa"/>
            <w:vAlign w:val="center"/>
            <w:hideMark/>
          </w:tcPr>
          <w:p w14:paraId="24E83F20" w14:textId="6963A148"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ORGANISMO OPERADOR ENCARGADO DE LA GESTIÓN Y MANEJO INTEGRAL DE LOS RESIDUOS SÓLIDOS URBANOS Y DE MANEJO ESPECIAL DEL ESTADO DE OAXACA</w:t>
            </w:r>
          </w:p>
        </w:tc>
        <w:tc>
          <w:tcPr>
            <w:tcW w:w="1559" w:type="dxa"/>
            <w:vAlign w:val="center"/>
            <w:hideMark/>
          </w:tcPr>
          <w:p w14:paraId="7CCA714F" w14:textId="5D90C1A9"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952,438 </w:t>
            </w:r>
          </w:p>
        </w:tc>
        <w:tc>
          <w:tcPr>
            <w:tcW w:w="1559" w:type="dxa"/>
            <w:vAlign w:val="center"/>
            <w:hideMark/>
          </w:tcPr>
          <w:p w14:paraId="7D69D6DC" w14:textId="379924CD"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952,438 </w:t>
            </w:r>
          </w:p>
        </w:tc>
        <w:tc>
          <w:tcPr>
            <w:tcW w:w="1701" w:type="dxa"/>
            <w:vAlign w:val="center"/>
            <w:hideMark/>
          </w:tcPr>
          <w:p w14:paraId="6064BD2A" w14:textId="4B838383"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r>
      <w:tr w:rsidR="00B81758" w:rsidRPr="00C953B4" w14:paraId="113D3CF6" w14:textId="77777777" w:rsidTr="00B81758">
        <w:trPr>
          <w:trHeight w:val="465"/>
        </w:trPr>
        <w:tc>
          <w:tcPr>
            <w:tcW w:w="608" w:type="dxa"/>
            <w:vAlign w:val="center"/>
            <w:hideMark/>
          </w:tcPr>
          <w:p w14:paraId="5F1AED97" w14:textId="553C9913"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562</w:t>
            </w:r>
          </w:p>
        </w:tc>
        <w:tc>
          <w:tcPr>
            <w:tcW w:w="3640" w:type="dxa"/>
            <w:vAlign w:val="center"/>
            <w:hideMark/>
          </w:tcPr>
          <w:p w14:paraId="2719A72D" w14:textId="162B062E"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COORDINACIÓN DE DELEGADOS DE PAZ SOCIAL</w:t>
            </w:r>
          </w:p>
        </w:tc>
        <w:tc>
          <w:tcPr>
            <w:tcW w:w="1559" w:type="dxa"/>
            <w:vAlign w:val="center"/>
            <w:hideMark/>
          </w:tcPr>
          <w:p w14:paraId="1E2F43B7" w14:textId="77A127A3"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1,775,556 </w:t>
            </w:r>
          </w:p>
        </w:tc>
        <w:tc>
          <w:tcPr>
            <w:tcW w:w="1559" w:type="dxa"/>
            <w:vAlign w:val="center"/>
            <w:hideMark/>
          </w:tcPr>
          <w:p w14:paraId="16457935" w14:textId="046FDC7B"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1,775,556 </w:t>
            </w:r>
          </w:p>
        </w:tc>
        <w:tc>
          <w:tcPr>
            <w:tcW w:w="1701" w:type="dxa"/>
            <w:vAlign w:val="center"/>
            <w:hideMark/>
          </w:tcPr>
          <w:p w14:paraId="0247A2CD" w14:textId="5BB03A6F"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r>
      <w:tr w:rsidR="00B81758" w:rsidRPr="00C953B4" w14:paraId="600B80CC" w14:textId="77777777" w:rsidTr="00B81758">
        <w:trPr>
          <w:trHeight w:val="690"/>
        </w:trPr>
        <w:tc>
          <w:tcPr>
            <w:tcW w:w="608" w:type="dxa"/>
            <w:vAlign w:val="center"/>
            <w:hideMark/>
          </w:tcPr>
          <w:p w14:paraId="75585C78" w14:textId="6A51DCDE"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563</w:t>
            </w:r>
          </w:p>
        </w:tc>
        <w:tc>
          <w:tcPr>
            <w:tcW w:w="3640" w:type="dxa"/>
            <w:vAlign w:val="center"/>
            <w:hideMark/>
          </w:tcPr>
          <w:p w14:paraId="59E053CA" w14:textId="61764A09"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TELEBACHILLERATO COMUNITARIO DEL ESTADO DE OAXACA</w:t>
            </w:r>
          </w:p>
        </w:tc>
        <w:tc>
          <w:tcPr>
            <w:tcW w:w="1559" w:type="dxa"/>
            <w:vAlign w:val="center"/>
            <w:hideMark/>
          </w:tcPr>
          <w:p w14:paraId="0DFB5151" w14:textId="05335E43"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7,680,866 </w:t>
            </w:r>
          </w:p>
        </w:tc>
        <w:tc>
          <w:tcPr>
            <w:tcW w:w="1559" w:type="dxa"/>
            <w:vAlign w:val="center"/>
            <w:hideMark/>
          </w:tcPr>
          <w:p w14:paraId="7D6B373C" w14:textId="48609B91"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6,953,857 </w:t>
            </w:r>
          </w:p>
        </w:tc>
        <w:tc>
          <w:tcPr>
            <w:tcW w:w="1701" w:type="dxa"/>
            <w:vAlign w:val="center"/>
            <w:hideMark/>
          </w:tcPr>
          <w:p w14:paraId="1532FC73" w14:textId="18FB5D5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727,009 </w:t>
            </w:r>
          </w:p>
        </w:tc>
      </w:tr>
      <w:tr w:rsidR="00B81758" w:rsidRPr="00C953B4" w14:paraId="49DB6D06" w14:textId="77777777" w:rsidTr="00B81758">
        <w:trPr>
          <w:trHeight w:val="315"/>
        </w:trPr>
        <w:tc>
          <w:tcPr>
            <w:tcW w:w="608" w:type="dxa"/>
            <w:vAlign w:val="center"/>
            <w:hideMark/>
          </w:tcPr>
          <w:p w14:paraId="3458F4B7" w14:textId="3DC2B233"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565</w:t>
            </w:r>
          </w:p>
        </w:tc>
        <w:tc>
          <w:tcPr>
            <w:tcW w:w="3640" w:type="dxa"/>
            <w:vAlign w:val="center"/>
            <w:hideMark/>
          </w:tcPr>
          <w:p w14:paraId="53B0EBD1" w14:textId="0318ABE3"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INSTITUTO DEL DEPORTE</w:t>
            </w:r>
          </w:p>
        </w:tc>
        <w:tc>
          <w:tcPr>
            <w:tcW w:w="1559" w:type="dxa"/>
            <w:vAlign w:val="center"/>
            <w:hideMark/>
          </w:tcPr>
          <w:p w14:paraId="45539AE0" w14:textId="754BE533"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5,296,816 </w:t>
            </w:r>
          </w:p>
        </w:tc>
        <w:tc>
          <w:tcPr>
            <w:tcW w:w="1559" w:type="dxa"/>
            <w:vAlign w:val="center"/>
            <w:hideMark/>
          </w:tcPr>
          <w:p w14:paraId="33695712" w14:textId="668632E1"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5,296,816 </w:t>
            </w:r>
          </w:p>
        </w:tc>
        <w:tc>
          <w:tcPr>
            <w:tcW w:w="1701" w:type="dxa"/>
            <w:vAlign w:val="center"/>
            <w:hideMark/>
          </w:tcPr>
          <w:p w14:paraId="6B3E2341" w14:textId="54DF2315"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r>
      <w:tr w:rsidR="00B81758" w:rsidRPr="00C953B4" w14:paraId="74296FEE" w14:textId="77777777" w:rsidTr="00B81758">
        <w:trPr>
          <w:trHeight w:val="315"/>
        </w:trPr>
        <w:tc>
          <w:tcPr>
            <w:tcW w:w="608" w:type="dxa"/>
            <w:vAlign w:val="center"/>
            <w:hideMark/>
          </w:tcPr>
          <w:p w14:paraId="01F25520" w14:textId="40E4709C"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568</w:t>
            </w:r>
          </w:p>
        </w:tc>
        <w:tc>
          <w:tcPr>
            <w:tcW w:w="3640" w:type="dxa"/>
            <w:vAlign w:val="center"/>
            <w:hideMark/>
          </w:tcPr>
          <w:p w14:paraId="48B86D37" w14:textId="03B4C0F6"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SISTEMA DE TRANSPORTE COLECTIVO METROPOLITANO CITYBUS OAXACA</w:t>
            </w:r>
          </w:p>
        </w:tc>
        <w:tc>
          <w:tcPr>
            <w:tcW w:w="1559" w:type="dxa"/>
            <w:vAlign w:val="center"/>
            <w:hideMark/>
          </w:tcPr>
          <w:p w14:paraId="6642A07C" w14:textId="7C7D4620"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12,984,904 </w:t>
            </w:r>
          </w:p>
        </w:tc>
        <w:tc>
          <w:tcPr>
            <w:tcW w:w="1559" w:type="dxa"/>
            <w:vAlign w:val="center"/>
            <w:hideMark/>
          </w:tcPr>
          <w:p w14:paraId="2513AD29" w14:textId="4678DBD1"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131,664,120 </w:t>
            </w:r>
          </w:p>
        </w:tc>
        <w:tc>
          <w:tcPr>
            <w:tcW w:w="1701" w:type="dxa"/>
            <w:vAlign w:val="center"/>
            <w:hideMark/>
          </w:tcPr>
          <w:p w14:paraId="7EE6B7E3" w14:textId="10959192"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118,679,217 </w:t>
            </w:r>
          </w:p>
        </w:tc>
      </w:tr>
      <w:tr w:rsidR="00B81758" w:rsidRPr="00C953B4" w14:paraId="2EC03A10" w14:textId="77777777" w:rsidTr="00B81758">
        <w:trPr>
          <w:trHeight w:val="315"/>
        </w:trPr>
        <w:tc>
          <w:tcPr>
            <w:tcW w:w="608" w:type="dxa"/>
            <w:vAlign w:val="center"/>
            <w:hideMark/>
          </w:tcPr>
          <w:p w14:paraId="74B7F006" w14:textId="743C0547"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569</w:t>
            </w:r>
          </w:p>
        </w:tc>
        <w:tc>
          <w:tcPr>
            <w:tcW w:w="3640" w:type="dxa"/>
            <w:vAlign w:val="center"/>
            <w:hideMark/>
          </w:tcPr>
          <w:p w14:paraId="4F800C0B" w14:textId="4114603F"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POLITÉCNICA DE NOCHIXTLÁN ABRAHAM CASTELLANOS</w:t>
            </w:r>
          </w:p>
        </w:tc>
        <w:tc>
          <w:tcPr>
            <w:tcW w:w="1559" w:type="dxa"/>
            <w:vAlign w:val="center"/>
            <w:hideMark/>
          </w:tcPr>
          <w:p w14:paraId="7E5AD131" w14:textId="0BC93501"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4,002,985 </w:t>
            </w:r>
          </w:p>
        </w:tc>
        <w:tc>
          <w:tcPr>
            <w:tcW w:w="1559" w:type="dxa"/>
            <w:vAlign w:val="center"/>
            <w:hideMark/>
          </w:tcPr>
          <w:p w14:paraId="7D1844C6" w14:textId="7967A2B0"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3,679,327 </w:t>
            </w:r>
          </w:p>
        </w:tc>
        <w:tc>
          <w:tcPr>
            <w:tcW w:w="1701" w:type="dxa"/>
            <w:vAlign w:val="center"/>
            <w:hideMark/>
          </w:tcPr>
          <w:p w14:paraId="2713696D" w14:textId="13C3128F"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323,658 </w:t>
            </w:r>
          </w:p>
        </w:tc>
      </w:tr>
      <w:tr w:rsidR="00B81758" w:rsidRPr="00C953B4" w14:paraId="62DE10D0" w14:textId="77777777" w:rsidTr="00B81758">
        <w:trPr>
          <w:trHeight w:val="465"/>
        </w:trPr>
        <w:tc>
          <w:tcPr>
            <w:tcW w:w="608" w:type="dxa"/>
            <w:tcBorders>
              <w:bottom w:val="single" w:sz="4" w:space="0" w:color="auto"/>
            </w:tcBorders>
            <w:vAlign w:val="center"/>
            <w:hideMark/>
          </w:tcPr>
          <w:p w14:paraId="1F804BE2" w14:textId="23FA53EB"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570</w:t>
            </w:r>
          </w:p>
        </w:tc>
        <w:tc>
          <w:tcPr>
            <w:tcW w:w="3640" w:type="dxa"/>
            <w:tcBorders>
              <w:bottom w:val="single" w:sz="4" w:space="0" w:color="auto"/>
            </w:tcBorders>
            <w:vAlign w:val="center"/>
            <w:hideMark/>
          </w:tcPr>
          <w:p w14:paraId="17EBEF4D" w14:textId="170EE1E2"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UNIVERSIDAD AUTÓNOMA COMUNAL DE OAXACA</w:t>
            </w:r>
          </w:p>
        </w:tc>
        <w:tc>
          <w:tcPr>
            <w:tcW w:w="1559" w:type="dxa"/>
            <w:tcBorders>
              <w:bottom w:val="single" w:sz="4" w:space="0" w:color="auto"/>
            </w:tcBorders>
            <w:vAlign w:val="center"/>
            <w:hideMark/>
          </w:tcPr>
          <w:p w14:paraId="51481A6A" w14:textId="2F3E4A08" w:rsidR="00B81758" w:rsidRPr="00C953B4" w:rsidRDefault="006C7F29" w:rsidP="00B81758">
            <w:pPr>
              <w:tabs>
                <w:tab w:val="left" w:pos="7260"/>
              </w:tabs>
              <w:jc w:val="right"/>
              <w:rPr>
                <w:rFonts w:ascii="Montserrat" w:eastAsia="Times New Roman" w:hAnsi="Montserrat" w:cs="Arial"/>
                <w:sz w:val="20"/>
                <w:szCs w:val="20"/>
              </w:rPr>
            </w:pPr>
            <w:r>
              <w:rPr>
                <w:rFonts w:ascii="Montserrat" w:eastAsia="Times New Roman" w:hAnsi="Montserrat" w:cs="Arial"/>
                <w:sz w:val="20"/>
                <w:szCs w:val="20"/>
              </w:rPr>
              <w:t>0</w:t>
            </w:r>
            <w:r w:rsidR="00B81758" w:rsidRPr="00B81758">
              <w:rPr>
                <w:rFonts w:ascii="Montserrat" w:eastAsia="Times New Roman" w:hAnsi="Montserrat" w:cs="Arial"/>
                <w:sz w:val="20"/>
                <w:szCs w:val="20"/>
              </w:rPr>
              <w:t xml:space="preserve">  </w:t>
            </w:r>
          </w:p>
        </w:tc>
        <w:tc>
          <w:tcPr>
            <w:tcW w:w="1559" w:type="dxa"/>
            <w:tcBorders>
              <w:bottom w:val="single" w:sz="4" w:space="0" w:color="auto"/>
            </w:tcBorders>
            <w:vAlign w:val="center"/>
            <w:hideMark/>
          </w:tcPr>
          <w:p w14:paraId="562A2C3F" w14:textId="0039EFA0"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3,772,306 </w:t>
            </w:r>
          </w:p>
        </w:tc>
        <w:tc>
          <w:tcPr>
            <w:tcW w:w="1701" w:type="dxa"/>
            <w:tcBorders>
              <w:bottom w:val="single" w:sz="4" w:space="0" w:color="auto"/>
            </w:tcBorders>
            <w:vAlign w:val="center"/>
            <w:hideMark/>
          </w:tcPr>
          <w:p w14:paraId="2AF061A0" w14:textId="277FB882"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3,772,306 </w:t>
            </w:r>
          </w:p>
        </w:tc>
      </w:tr>
      <w:tr w:rsidR="00B81758" w:rsidRPr="00C953B4" w14:paraId="72C13042" w14:textId="77777777" w:rsidTr="00B81758">
        <w:trPr>
          <w:trHeight w:val="465"/>
        </w:trPr>
        <w:tc>
          <w:tcPr>
            <w:tcW w:w="608" w:type="dxa"/>
            <w:tcBorders>
              <w:bottom w:val="single" w:sz="4" w:space="0" w:color="auto"/>
            </w:tcBorders>
            <w:vAlign w:val="center"/>
            <w:hideMark/>
          </w:tcPr>
          <w:p w14:paraId="7C37E5A8" w14:textId="43298BD3"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571</w:t>
            </w:r>
          </w:p>
        </w:tc>
        <w:tc>
          <w:tcPr>
            <w:tcW w:w="3640" w:type="dxa"/>
            <w:tcBorders>
              <w:bottom w:val="single" w:sz="4" w:space="0" w:color="auto"/>
            </w:tcBorders>
            <w:vAlign w:val="center"/>
            <w:hideMark/>
          </w:tcPr>
          <w:p w14:paraId="07726608" w14:textId="2E85A345"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COMISIÓN ESTATAL DE BÚSQUEDA DE PERSONAS DESAPARECIDAS PARA EL ESTADO DE OAXACA</w:t>
            </w:r>
          </w:p>
        </w:tc>
        <w:tc>
          <w:tcPr>
            <w:tcW w:w="1559" w:type="dxa"/>
            <w:tcBorders>
              <w:bottom w:val="single" w:sz="4" w:space="0" w:color="auto"/>
            </w:tcBorders>
            <w:vAlign w:val="center"/>
            <w:hideMark/>
          </w:tcPr>
          <w:p w14:paraId="4AC0E818" w14:textId="7BF4555F"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14,070,549 </w:t>
            </w:r>
          </w:p>
        </w:tc>
        <w:tc>
          <w:tcPr>
            <w:tcW w:w="1559" w:type="dxa"/>
            <w:tcBorders>
              <w:bottom w:val="single" w:sz="4" w:space="0" w:color="auto"/>
            </w:tcBorders>
            <w:vAlign w:val="center"/>
            <w:hideMark/>
          </w:tcPr>
          <w:p w14:paraId="6594BA7B" w14:textId="2F5BEB5E"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14,070,549 </w:t>
            </w:r>
          </w:p>
        </w:tc>
        <w:tc>
          <w:tcPr>
            <w:tcW w:w="1701" w:type="dxa"/>
            <w:tcBorders>
              <w:bottom w:val="single" w:sz="4" w:space="0" w:color="auto"/>
            </w:tcBorders>
            <w:vAlign w:val="center"/>
            <w:hideMark/>
          </w:tcPr>
          <w:p w14:paraId="15C2F1C1" w14:textId="3E3DCB39"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Pr>
                <w:rFonts w:ascii="Montserrat" w:eastAsia="Times New Roman" w:hAnsi="Montserrat" w:cs="Arial"/>
                <w:sz w:val="20"/>
                <w:szCs w:val="20"/>
              </w:rPr>
              <w:t>0</w:t>
            </w:r>
          </w:p>
        </w:tc>
      </w:tr>
      <w:tr w:rsidR="00B81758" w:rsidRPr="00C953B4" w14:paraId="5894C8D7" w14:textId="77777777" w:rsidTr="00B81758">
        <w:trPr>
          <w:trHeight w:val="465"/>
        </w:trPr>
        <w:tc>
          <w:tcPr>
            <w:tcW w:w="608" w:type="dxa"/>
            <w:tcBorders>
              <w:top w:val="single" w:sz="4" w:space="0" w:color="auto"/>
              <w:left w:val="single" w:sz="4" w:space="0" w:color="auto"/>
              <w:bottom w:val="single" w:sz="4" w:space="0" w:color="auto"/>
              <w:right w:val="single" w:sz="4" w:space="0" w:color="auto"/>
            </w:tcBorders>
            <w:vAlign w:val="center"/>
          </w:tcPr>
          <w:p w14:paraId="407C0787" w14:textId="6A0964A8" w:rsidR="00B81758" w:rsidRPr="00C953B4" w:rsidRDefault="00B81758" w:rsidP="000669E4">
            <w:pPr>
              <w:tabs>
                <w:tab w:val="left" w:pos="7260"/>
              </w:tabs>
              <w:jc w:val="center"/>
              <w:rPr>
                <w:rFonts w:ascii="Montserrat" w:hAnsi="Montserrat"/>
                <w:sz w:val="20"/>
                <w:szCs w:val="20"/>
              </w:rPr>
            </w:pPr>
            <w:r>
              <w:rPr>
                <w:rFonts w:ascii="Montserrat" w:hAnsi="Montserrat" w:cs="Calibri"/>
                <w:color w:val="000000"/>
                <w:sz w:val="20"/>
                <w:szCs w:val="20"/>
              </w:rPr>
              <w:t>572</w:t>
            </w:r>
          </w:p>
        </w:tc>
        <w:tc>
          <w:tcPr>
            <w:tcW w:w="3640" w:type="dxa"/>
            <w:tcBorders>
              <w:top w:val="single" w:sz="4" w:space="0" w:color="auto"/>
              <w:left w:val="single" w:sz="4" w:space="0" w:color="auto"/>
              <w:bottom w:val="single" w:sz="4" w:space="0" w:color="auto"/>
              <w:right w:val="single" w:sz="4" w:space="0" w:color="auto"/>
            </w:tcBorders>
            <w:vAlign w:val="center"/>
          </w:tcPr>
          <w:p w14:paraId="7139A1AD" w14:textId="6BE1AE7B" w:rsidR="00B81758" w:rsidRPr="00C953B4" w:rsidRDefault="00B81758" w:rsidP="00B81758">
            <w:pPr>
              <w:tabs>
                <w:tab w:val="left" w:pos="7260"/>
              </w:tabs>
              <w:rPr>
                <w:rFonts w:ascii="Montserrat" w:hAnsi="Montserrat"/>
                <w:sz w:val="20"/>
                <w:szCs w:val="20"/>
              </w:rPr>
            </w:pPr>
            <w:r>
              <w:rPr>
                <w:rFonts w:ascii="Montserrat" w:hAnsi="Montserrat" w:cs="Calibri"/>
                <w:color w:val="000000"/>
                <w:sz w:val="20"/>
                <w:szCs w:val="20"/>
              </w:rPr>
              <w:t>DIRECCIÓN GENERAL DEL HANGAR OFICIAL DEL GOBIERNO DEL ESTADO</w:t>
            </w:r>
          </w:p>
        </w:tc>
        <w:tc>
          <w:tcPr>
            <w:tcW w:w="1559" w:type="dxa"/>
            <w:tcBorders>
              <w:top w:val="single" w:sz="4" w:space="0" w:color="auto"/>
              <w:left w:val="single" w:sz="4" w:space="0" w:color="auto"/>
              <w:bottom w:val="single" w:sz="4" w:space="0" w:color="auto"/>
              <w:right w:val="single" w:sz="4" w:space="0" w:color="auto"/>
            </w:tcBorders>
            <w:vAlign w:val="center"/>
          </w:tcPr>
          <w:p w14:paraId="4AFC6FAB" w14:textId="20673D6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13,798,724 </w:t>
            </w:r>
          </w:p>
        </w:tc>
        <w:tc>
          <w:tcPr>
            <w:tcW w:w="1559" w:type="dxa"/>
            <w:tcBorders>
              <w:top w:val="single" w:sz="4" w:space="0" w:color="auto"/>
              <w:left w:val="single" w:sz="4" w:space="0" w:color="auto"/>
              <w:bottom w:val="single" w:sz="4" w:space="0" w:color="auto"/>
              <w:right w:val="single" w:sz="4" w:space="0" w:color="auto"/>
            </w:tcBorders>
            <w:vAlign w:val="center"/>
          </w:tcPr>
          <w:p w14:paraId="5154DCD8" w14:textId="51938EF0"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86,190,080 </w:t>
            </w:r>
          </w:p>
        </w:tc>
        <w:tc>
          <w:tcPr>
            <w:tcW w:w="1701" w:type="dxa"/>
            <w:tcBorders>
              <w:top w:val="single" w:sz="4" w:space="0" w:color="auto"/>
              <w:left w:val="single" w:sz="4" w:space="0" w:color="auto"/>
              <w:bottom w:val="single" w:sz="4" w:space="0" w:color="auto"/>
              <w:right w:val="single" w:sz="4" w:space="0" w:color="auto"/>
            </w:tcBorders>
            <w:vAlign w:val="center"/>
          </w:tcPr>
          <w:p w14:paraId="3FA92F9F" w14:textId="03CC80D9"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72,391,356 </w:t>
            </w:r>
          </w:p>
        </w:tc>
      </w:tr>
      <w:tr w:rsidR="00B81758" w:rsidRPr="00C953B4" w14:paraId="6C49C1DF" w14:textId="77777777" w:rsidTr="00B81758">
        <w:trPr>
          <w:trHeight w:val="465"/>
        </w:trPr>
        <w:tc>
          <w:tcPr>
            <w:tcW w:w="608" w:type="dxa"/>
            <w:tcBorders>
              <w:top w:val="single" w:sz="4" w:space="0" w:color="auto"/>
            </w:tcBorders>
            <w:vAlign w:val="center"/>
            <w:hideMark/>
          </w:tcPr>
          <w:p w14:paraId="78654830" w14:textId="3C527E40"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lastRenderedPageBreak/>
              <w:t>573</w:t>
            </w:r>
          </w:p>
        </w:tc>
        <w:tc>
          <w:tcPr>
            <w:tcW w:w="3640" w:type="dxa"/>
            <w:tcBorders>
              <w:top w:val="single" w:sz="4" w:space="0" w:color="auto"/>
            </w:tcBorders>
            <w:vAlign w:val="center"/>
            <w:hideMark/>
          </w:tcPr>
          <w:p w14:paraId="608F4F26" w14:textId="0AC5B62E"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CENTRO DE CONCILIACIÓN LABORAL DEL ESTADO DE OAXACA</w:t>
            </w:r>
          </w:p>
        </w:tc>
        <w:tc>
          <w:tcPr>
            <w:tcW w:w="1559" w:type="dxa"/>
            <w:tcBorders>
              <w:top w:val="single" w:sz="4" w:space="0" w:color="auto"/>
            </w:tcBorders>
            <w:vAlign w:val="center"/>
            <w:hideMark/>
          </w:tcPr>
          <w:p w14:paraId="74DC4C6D" w14:textId="4D94017A"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10,170,448 </w:t>
            </w:r>
          </w:p>
        </w:tc>
        <w:tc>
          <w:tcPr>
            <w:tcW w:w="1559" w:type="dxa"/>
            <w:tcBorders>
              <w:top w:val="single" w:sz="4" w:space="0" w:color="auto"/>
            </w:tcBorders>
            <w:vAlign w:val="center"/>
            <w:hideMark/>
          </w:tcPr>
          <w:p w14:paraId="426CF9D1" w14:textId="2BA83063"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3,010,339 </w:t>
            </w:r>
          </w:p>
        </w:tc>
        <w:tc>
          <w:tcPr>
            <w:tcW w:w="1701" w:type="dxa"/>
            <w:tcBorders>
              <w:top w:val="single" w:sz="4" w:space="0" w:color="auto"/>
            </w:tcBorders>
            <w:vAlign w:val="center"/>
            <w:hideMark/>
          </w:tcPr>
          <w:p w14:paraId="69B8A974" w14:textId="2614A9D0"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7,160,109 </w:t>
            </w:r>
          </w:p>
        </w:tc>
      </w:tr>
      <w:tr w:rsidR="00B81758" w:rsidRPr="00C953B4" w14:paraId="4F6D0BEF" w14:textId="77777777" w:rsidTr="00B81758">
        <w:trPr>
          <w:trHeight w:val="465"/>
        </w:trPr>
        <w:tc>
          <w:tcPr>
            <w:tcW w:w="608" w:type="dxa"/>
            <w:vAlign w:val="center"/>
            <w:hideMark/>
          </w:tcPr>
          <w:p w14:paraId="649F7614" w14:textId="5038C9AE"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574</w:t>
            </w:r>
          </w:p>
        </w:tc>
        <w:tc>
          <w:tcPr>
            <w:tcW w:w="3640" w:type="dxa"/>
            <w:vAlign w:val="center"/>
            <w:hideMark/>
          </w:tcPr>
          <w:p w14:paraId="5481D706" w14:textId="1D8FC317"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PROCURADURÍA DE PROTECCIÓN AL AMBIENTE DEL ESTADO DE OAXACA</w:t>
            </w:r>
          </w:p>
        </w:tc>
        <w:tc>
          <w:tcPr>
            <w:tcW w:w="1559" w:type="dxa"/>
            <w:vAlign w:val="center"/>
            <w:hideMark/>
          </w:tcPr>
          <w:p w14:paraId="1422E164" w14:textId="4CBBC7E8"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sidR="006C7F29">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c>
          <w:tcPr>
            <w:tcW w:w="1559" w:type="dxa"/>
            <w:vAlign w:val="center"/>
            <w:hideMark/>
          </w:tcPr>
          <w:p w14:paraId="192D7580" w14:textId="4F08DDAB"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2,513,893 </w:t>
            </w:r>
          </w:p>
        </w:tc>
        <w:tc>
          <w:tcPr>
            <w:tcW w:w="1701" w:type="dxa"/>
            <w:vAlign w:val="center"/>
            <w:hideMark/>
          </w:tcPr>
          <w:p w14:paraId="00015D83" w14:textId="3FDBAE5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2,513,893 </w:t>
            </w:r>
          </w:p>
        </w:tc>
      </w:tr>
      <w:tr w:rsidR="00B81758" w:rsidRPr="00C953B4" w14:paraId="315BC5CB" w14:textId="77777777" w:rsidTr="00B81758">
        <w:trPr>
          <w:trHeight w:val="315"/>
        </w:trPr>
        <w:tc>
          <w:tcPr>
            <w:tcW w:w="608" w:type="dxa"/>
            <w:vAlign w:val="center"/>
            <w:hideMark/>
          </w:tcPr>
          <w:p w14:paraId="256FA326" w14:textId="27E470F6"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575</w:t>
            </w:r>
          </w:p>
        </w:tc>
        <w:tc>
          <w:tcPr>
            <w:tcW w:w="3640" w:type="dxa"/>
            <w:vAlign w:val="center"/>
            <w:hideMark/>
          </w:tcPr>
          <w:p w14:paraId="46D2A98B" w14:textId="61B42377"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COMISIÓN EJECUTIVA ESTATAL DE ATENCIÓN INTEGRAL A VÍCTIMAS</w:t>
            </w:r>
          </w:p>
        </w:tc>
        <w:tc>
          <w:tcPr>
            <w:tcW w:w="1559" w:type="dxa"/>
            <w:vAlign w:val="center"/>
            <w:hideMark/>
          </w:tcPr>
          <w:p w14:paraId="1ABF10F1" w14:textId="12862CE1"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92,852 </w:t>
            </w:r>
          </w:p>
        </w:tc>
        <w:tc>
          <w:tcPr>
            <w:tcW w:w="1559" w:type="dxa"/>
            <w:vAlign w:val="center"/>
            <w:hideMark/>
          </w:tcPr>
          <w:p w14:paraId="2EF9A00E" w14:textId="2A4BA886"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92,852 </w:t>
            </w:r>
          </w:p>
        </w:tc>
        <w:tc>
          <w:tcPr>
            <w:tcW w:w="1701" w:type="dxa"/>
            <w:vAlign w:val="center"/>
            <w:hideMark/>
          </w:tcPr>
          <w:p w14:paraId="397DFCE6" w14:textId="6395219B"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sidR="006C7F29">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r>
      <w:tr w:rsidR="00B81758" w:rsidRPr="00C953B4" w14:paraId="309E4675" w14:textId="77777777" w:rsidTr="00B81758">
        <w:trPr>
          <w:trHeight w:val="465"/>
        </w:trPr>
        <w:tc>
          <w:tcPr>
            <w:tcW w:w="608" w:type="dxa"/>
            <w:vAlign w:val="center"/>
            <w:hideMark/>
          </w:tcPr>
          <w:p w14:paraId="28BFC61A" w14:textId="5DA2F427"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576</w:t>
            </w:r>
          </w:p>
        </w:tc>
        <w:tc>
          <w:tcPr>
            <w:tcW w:w="3640" w:type="dxa"/>
            <w:vAlign w:val="center"/>
            <w:hideMark/>
          </w:tcPr>
          <w:p w14:paraId="601FA69D" w14:textId="1778CF78"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ARCHIVO GENERAL DEL ESTADO DE OAXACA</w:t>
            </w:r>
          </w:p>
        </w:tc>
        <w:tc>
          <w:tcPr>
            <w:tcW w:w="1559" w:type="dxa"/>
            <w:vAlign w:val="center"/>
            <w:hideMark/>
          </w:tcPr>
          <w:p w14:paraId="3947C6B4" w14:textId="7EF3635E" w:rsidR="00B81758" w:rsidRPr="00C953B4" w:rsidRDefault="006C7F29" w:rsidP="00B81758">
            <w:pPr>
              <w:tabs>
                <w:tab w:val="left" w:pos="7260"/>
              </w:tabs>
              <w:jc w:val="right"/>
              <w:rPr>
                <w:rFonts w:ascii="Montserrat" w:eastAsia="Times New Roman" w:hAnsi="Montserrat" w:cs="Arial"/>
                <w:sz w:val="20"/>
                <w:szCs w:val="20"/>
              </w:rPr>
            </w:pPr>
            <w:r>
              <w:rPr>
                <w:rFonts w:ascii="Montserrat" w:eastAsia="Times New Roman" w:hAnsi="Montserrat" w:cs="Arial"/>
                <w:sz w:val="20"/>
                <w:szCs w:val="20"/>
              </w:rPr>
              <w:t>0</w:t>
            </w:r>
            <w:r w:rsidR="00B81758" w:rsidRPr="00B81758">
              <w:rPr>
                <w:rFonts w:ascii="Montserrat" w:eastAsia="Times New Roman" w:hAnsi="Montserrat" w:cs="Arial"/>
                <w:sz w:val="20"/>
                <w:szCs w:val="20"/>
              </w:rPr>
              <w:t xml:space="preserve">  </w:t>
            </w:r>
          </w:p>
        </w:tc>
        <w:tc>
          <w:tcPr>
            <w:tcW w:w="1559" w:type="dxa"/>
            <w:vAlign w:val="center"/>
            <w:hideMark/>
          </w:tcPr>
          <w:p w14:paraId="119EAFED" w14:textId="3F507B3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3,509,990 </w:t>
            </w:r>
          </w:p>
        </w:tc>
        <w:tc>
          <w:tcPr>
            <w:tcW w:w="1701" w:type="dxa"/>
            <w:vAlign w:val="center"/>
            <w:hideMark/>
          </w:tcPr>
          <w:p w14:paraId="0FCFC3FC" w14:textId="1E1B5A03"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3,509,990 </w:t>
            </w:r>
          </w:p>
        </w:tc>
      </w:tr>
      <w:tr w:rsidR="00B81758" w:rsidRPr="00C953B4" w14:paraId="4C9BB73B" w14:textId="77777777" w:rsidTr="00B81758">
        <w:trPr>
          <w:trHeight w:val="315"/>
        </w:trPr>
        <w:tc>
          <w:tcPr>
            <w:tcW w:w="608" w:type="dxa"/>
            <w:vAlign w:val="center"/>
            <w:hideMark/>
          </w:tcPr>
          <w:p w14:paraId="4301BAEA" w14:textId="176D039A"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582</w:t>
            </w:r>
          </w:p>
        </w:tc>
        <w:tc>
          <w:tcPr>
            <w:tcW w:w="3640" w:type="dxa"/>
            <w:vAlign w:val="center"/>
            <w:hideMark/>
          </w:tcPr>
          <w:p w14:paraId="346C76A1" w14:textId="6557912D"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COORDINACIÓN PARA LA COMERCIALIZACIÓN DE PRODUCTOS OAXAQUEÑOS</w:t>
            </w:r>
          </w:p>
        </w:tc>
        <w:tc>
          <w:tcPr>
            <w:tcW w:w="1559" w:type="dxa"/>
            <w:vAlign w:val="center"/>
            <w:hideMark/>
          </w:tcPr>
          <w:p w14:paraId="400FCD3D" w14:textId="31C15A53"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sidR="006C7F29">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c>
          <w:tcPr>
            <w:tcW w:w="1559" w:type="dxa"/>
            <w:vAlign w:val="center"/>
            <w:hideMark/>
          </w:tcPr>
          <w:p w14:paraId="39417354" w14:textId="7AC6265F"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2,114,242 </w:t>
            </w:r>
          </w:p>
        </w:tc>
        <w:tc>
          <w:tcPr>
            <w:tcW w:w="1701" w:type="dxa"/>
            <w:vAlign w:val="center"/>
            <w:hideMark/>
          </w:tcPr>
          <w:p w14:paraId="1EF23303" w14:textId="5E229CB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2,114,242 </w:t>
            </w:r>
          </w:p>
        </w:tc>
      </w:tr>
      <w:tr w:rsidR="00B81758" w:rsidRPr="00C953B4" w14:paraId="61D69F54" w14:textId="77777777" w:rsidTr="00B81758">
        <w:trPr>
          <w:trHeight w:val="465"/>
        </w:trPr>
        <w:tc>
          <w:tcPr>
            <w:tcW w:w="608" w:type="dxa"/>
            <w:vAlign w:val="center"/>
            <w:hideMark/>
          </w:tcPr>
          <w:p w14:paraId="0CD134AB" w14:textId="41703F48"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601</w:t>
            </w:r>
          </w:p>
        </w:tc>
        <w:tc>
          <w:tcPr>
            <w:tcW w:w="3640" w:type="dxa"/>
            <w:vAlign w:val="center"/>
            <w:hideMark/>
          </w:tcPr>
          <w:p w14:paraId="50DE3C9E" w14:textId="32809A43"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FIDEICOMISO PARA EL DESARROLLO LOGÍSTICO DEL ESTADO DE OAXACA</w:t>
            </w:r>
          </w:p>
        </w:tc>
        <w:tc>
          <w:tcPr>
            <w:tcW w:w="1559" w:type="dxa"/>
            <w:vAlign w:val="center"/>
            <w:hideMark/>
          </w:tcPr>
          <w:p w14:paraId="78C85196" w14:textId="091CAEB6"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357,631 </w:t>
            </w:r>
          </w:p>
        </w:tc>
        <w:tc>
          <w:tcPr>
            <w:tcW w:w="1559" w:type="dxa"/>
            <w:vAlign w:val="center"/>
            <w:hideMark/>
          </w:tcPr>
          <w:p w14:paraId="37EEDFAE" w14:textId="0504C95B"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357,631 </w:t>
            </w:r>
          </w:p>
        </w:tc>
        <w:tc>
          <w:tcPr>
            <w:tcW w:w="1701" w:type="dxa"/>
            <w:vAlign w:val="center"/>
            <w:hideMark/>
          </w:tcPr>
          <w:p w14:paraId="6207D72C" w14:textId="66EDB877"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sidR="006C7F29">
              <w:rPr>
                <w:rFonts w:ascii="Montserrat" w:eastAsia="Times New Roman" w:hAnsi="Montserrat" w:cs="Arial"/>
                <w:sz w:val="20"/>
                <w:szCs w:val="20"/>
              </w:rPr>
              <w:t>0</w:t>
            </w:r>
          </w:p>
        </w:tc>
      </w:tr>
      <w:tr w:rsidR="00B81758" w:rsidRPr="00C953B4" w14:paraId="5947B26E" w14:textId="77777777" w:rsidTr="00B81758">
        <w:trPr>
          <w:trHeight w:val="315"/>
        </w:trPr>
        <w:tc>
          <w:tcPr>
            <w:tcW w:w="608" w:type="dxa"/>
            <w:vAlign w:val="center"/>
            <w:hideMark/>
          </w:tcPr>
          <w:p w14:paraId="01AB4C63" w14:textId="1E649B1A"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602</w:t>
            </w:r>
          </w:p>
        </w:tc>
        <w:tc>
          <w:tcPr>
            <w:tcW w:w="3640" w:type="dxa"/>
            <w:vAlign w:val="center"/>
            <w:hideMark/>
          </w:tcPr>
          <w:p w14:paraId="239E108A" w14:textId="3033EEE6"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FIDEICOMISO DE FOMENTO PARA EL ESTADO DE OAXACA</w:t>
            </w:r>
          </w:p>
        </w:tc>
        <w:tc>
          <w:tcPr>
            <w:tcW w:w="1559" w:type="dxa"/>
            <w:vAlign w:val="center"/>
            <w:hideMark/>
          </w:tcPr>
          <w:p w14:paraId="01ED35D0" w14:textId="1096497E"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39,909 </w:t>
            </w:r>
          </w:p>
        </w:tc>
        <w:tc>
          <w:tcPr>
            <w:tcW w:w="1559" w:type="dxa"/>
            <w:vAlign w:val="center"/>
            <w:hideMark/>
          </w:tcPr>
          <w:p w14:paraId="04360F1C" w14:textId="4E833296"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39,909 </w:t>
            </w:r>
          </w:p>
        </w:tc>
        <w:tc>
          <w:tcPr>
            <w:tcW w:w="1701" w:type="dxa"/>
            <w:vAlign w:val="center"/>
            <w:hideMark/>
          </w:tcPr>
          <w:p w14:paraId="28EE4E89" w14:textId="0B886F8F"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sidR="006C7F29">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r>
      <w:tr w:rsidR="00B81758" w:rsidRPr="00C953B4" w14:paraId="06D0B07C" w14:textId="77777777" w:rsidTr="00B81758">
        <w:trPr>
          <w:trHeight w:val="465"/>
        </w:trPr>
        <w:tc>
          <w:tcPr>
            <w:tcW w:w="608" w:type="dxa"/>
            <w:vAlign w:val="center"/>
            <w:hideMark/>
          </w:tcPr>
          <w:p w14:paraId="2E94FA4B" w14:textId="04F7C93A" w:rsidR="00B81758" w:rsidRPr="00C953B4" w:rsidRDefault="00B81758" w:rsidP="000669E4">
            <w:pPr>
              <w:tabs>
                <w:tab w:val="left" w:pos="7260"/>
              </w:tabs>
              <w:jc w:val="center"/>
              <w:rPr>
                <w:rFonts w:ascii="Montserrat" w:eastAsia="Times New Roman" w:hAnsi="Montserrat" w:cs="Arial"/>
                <w:sz w:val="20"/>
                <w:szCs w:val="20"/>
              </w:rPr>
            </w:pPr>
            <w:r>
              <w:rPr>
                <w:rFonts w:ascii="Montserrat" w:hAnsi="Montserrat" w:cs="Calibri"/>
                <w:color w:val="000000"/>
                <w:sz w:val="20"/>
                <w:szCs w:val="20"/>
              </w:rPr>
              <w:t>603</w:t>
            </w:r>
          </w:p>
        </w:tc>
        <w:tc>
          <w:tcPr>
            <w:tcW w:w="3640" w:type="dxa"/>
            <w:vAlign w:val="center"/>
            <w:hideMark/>
          </w:tcPr>
          <w:p w14:paraId="2452E69D" w14:textId="6A49A1B2" w:rsidR="00B81758" w:rsidRPr="00C953B4" w:rsidRDefault="00B81758" w:rsidP="00B81758">
            <w:pPr>
              <w:tabs>
                <w:tab w:val="left" w:pos="7260"/>
              </w:tabs>
              <w:rPr>
                <w:rFonts w:ascii="Montserrat" w:eastAsia="Times New Roman" w:hAnsi="Montserrat" w:cs="Arial"/>
                <w:sz w:val="20"/>
                <w:szCs w:val="20"/>
              </w:rPr>
            </w:pPr>
            <w:r>
              <w:rPr>
                <w:rFonts w:ascii="Montserrat" w:hAnsi="Montserrat" w:cs="Calibri"/>
                <w:color w:val="000000"/>
                <w:sz w:val="20"/>
                <w:szCs w:val="20"/>
              </w:rPr>
              <w:t>OFICINA DE CONVENCIONES Y VISITANTES DE OAXACA 'OCVOAXACA' (EXTINTO) DECRETO 26-07-2023</w:t>
            </w:r>
          </w:p>
        </w:tc>
        <w:tc>
          <w:tcPr>
            <w:tcW w:w="1559" w:type="dxa"/>
            <w:vAlign w:val="center"/>
            <w:hideMark/>
          </w:tcPr>
          <w:p w14:paraId="1B65E6EF" w14:textId="18F33F82" w:rsidR="00B81758" w:rsidRPr="00C953B4"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4,866,800 </w:t>
            </w:r>
          </w:p>
        </w:tc>
        <w:tc>
          <w:tcPr>
            <w:tcW w:w="1559" w:type="dxa"/>
            <w:vAlign w:val="center"/>
            <w:hideMark/>
          </w:tcPr>
          <w:p w14:paraId="2F5926C2" w14:textId="1F9DF53B"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sidR="006C7F29">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c>
          <w:tcPr>
            <w:tcW w:w="1701" w:type="dxa"/>
            <w:vAlign w:val="center"/>
            <w:hideMark/>
          </w:tcPr>
          <w:p w14:paraId="0A30A258" w14:textId="5F76406E"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4,866,800 </w:t>
            </w:r>
          </w:p>
        </w:tc>
      </w:tr>
      <w:tr w:rsidR="00B81758" w:rsidRPr="00C953B4" w14:paraId="525917F4" w14:textId="77777777" w:rsidTr="00B81758">
        <w:trPr>
          <w:trHeight w:val="465"/>
        </w:trPr>
        <w:tc>
          <w:tcPr>
            <w:tcW w:w="608" w:type="dxa"/>
            <w:vAlign w:val="center"/>
          </w:tcPr>
          <w:p w14:paraId="1D76DB77" w14:textId="75FA10BD" w:rsidR="00B81758" w:rsidRPr="00C953B4" w:rsidRDefault="00B81758" w:rsidP="000669E4">
            <w:pPr>
              <w:tabs>
                <w:tab w:val="left" w:pos="7260"/>
              </w:tabs>
              <w:jc w:val="center"/>
              <w:rPr>
                <w:rFonts w:ascii="Montserrat" w:hAnsi="Montserrat" w:cs="Calibri"/>
                <w:color w:val="000000"/>
                <w:sz w:val="20"/>
                <w:szCs w:val="20"/>
              </w:rPr>
            </w:pPr>
            <w:r>
              <w:rPr>
                <w:rFonts w:ascii="Montserrat" w:hAnsi="Montserrat" w:cs="Calibri"/>
                <w:color w:val="000000"/>
                <w:sz w:val="20"/>
                <w:szCs w:val="20"/>
              </w:rPr>
              <w:t>801</w:t>
            </w:r>
          </w:p>
        </w:tc>
        <w:tc>
          <w:tcPr>
            <w:tcW w:w="3640" w:type="dxa"/>
            <w:vAlign w:val="center"/>
          </w:tcPr>
          <w:p w14:paraId="73CE27AA" w14:textId="1561269D" w:rsidR="00B81758" w:rsidRPr="00C953B4" w:rsidRDefault="00B81758" w:rsidP="00B81758">
            <w:pPr>
              <w:tabs>
                <w:tab w:val="left" w:pos="7260"/>
              </w:tabs>
              <w:rPr>
                <w:rFonts w:ascii="Montserrat" w:hAnsi="Montserrat" w:cs="Calibri"/>
                <w:color w:val="000000"/>
                <w:sz w:val="20"/>
                <w:szCs w:val="20"/>
              </w:rPr>
            </w:pPr>
            <w:r>
              <w:rPr>
                <w:rFonts w:ascii="Montserrat" w:hAnsi="Montserrat" w:cs="Calibri"/>
                <w:color w:val="000000"/>
                <w:sz w:val="20"/>
                <w:szCs w:val="20"/>
              </w:rPr>
              <w:t>OFICINA DE PENSIONES DEL ESTADO DE OAXACA</w:t>
            </w:r>
          </w:p>
        </w:tc>
        <w:tc>
          <w:tcPr>
            <w:tcW w:w="1559" w:type="dxa"/>
            <w:vAlign w:val="center"/>
          </w:tcPr>
          <w:p w14:paraId="46D490E1" w14:textId="6B6DE993"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155,245 </w:t>
            </w:r>
          </w:p>
        </w:tc>
        <w:tc>
          <w:tcPr>
            <w:tcW w:w="1559" w:type="dxa"/>
            <w:vAlign w:val="center"/>
          </w:tcPr>
          <w:p w14:paraId="63C6E5C5" w14:textId="7FB27A06"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155,245 </w:t>
            </w:r>
          </w:p>
        </w:tc>
        <w:tc>
          <w:tcPr>
            <w:tcW w:w="1701" w:type="dxa"/>
            <w:vAlign w:val="center"/>
          </w:tcPr>
          <w:p w14:paraId="6069B532" w14:textId="2861D438" w:rsidR="00B81758" w:rsidRPr="00B81758" w:rsidRDefault="00B81758" w:rsidP="00B81758">
            <w:pPr>
              <w:tabs>
                <w:tab w:val="left" w:pos="7260"/>
              </w:tabs>
              <w:jc w:val="right"/>
              <w:rPr>
                <w:rFonts w:ascii="Montserrat" w:eastAsia="Times New Roman" w:hAnsi="Montserrat" w:cs="Arial"/>
                <w:sz w:val="20"/>
                <w:szCs w:val="20"/>
              </w:rPr>
            </w:pPr>
            <w:r w:rsidRPr="00B81758">
              <w:rPr>
                <w:rFonts w:ascii="Montserrat" w:eastAsia="Times New Roman" w:hAnsi="Montserrat" w:cs="Arial"/>
                <w:sz w:val="20"/>
                <w:szCs w:val="20"/>
              </w:rPr>
              <w:t xml:space="preserve">                         </w:t>
            </w:r>
            <w:r w:rsidR="006C7F29">
              <w:rPr>
                <w:rFonts w:ascii="Montserrat" w:eastAsia="Times New Roman" w:hAnsi="Montserrat" w:cs="Arial"/>
                <w:sz w:val="20"/>
                <w:szCs w:val="20"/>
              </w:rPr>
              <w:t>0</w:t>
            </w:r>
            <w:r w:rsidRPr="00B81758">
              <w:rPr>
                <w:rFonts w:ascii="Montserrat" w:eastAsia="Times New Roman" w:hAnsi="Montserrat" w:cs="Arial"/>
                <w:sz w:val="20"/>
                <w:szCs w:val="20"/>
              </w:rPr>
              <w:t xml:space="preserve">   </w:t>
            </w:r>
          </w:p>
        </w:tc>
      </w:tr>
    </w:tbl>
    <w:p w14:paraId="0D734CB2" w14:textId="77777777" w:rsidR="00B0059B" w:rsidRPr="00C953B4" w:rsidRDefault="00B0059B" w:rsidP="00B0059B">
      <w:pPr>
        <w:tabs>
          <w:tab w:val="left" w:pos="7260"/>
        </w:tabs>
        <w:jc w:val="both"/>
        <w:rPr>
          <w:rFonts w:ascii="Montserrat" w:eastAsia="Times New Roman" w:hAnsi="Montserrat" w:cs="Arial"/>
        </w:rPr>
      </w:pPr>
    </w:p>
    <w:p w14:paraId="6D3CE71B" w14:textId="77777777" w:rsidR="00831CEA" w:rsidRDefault="00831CEA" w:rsidP="00B0059B">
      <w:pPr>
        <w:tabs>
          <w:tab w:val="left" w:pos="7260"/>
        </w:tabs>
        <w:jc w:val="both"/>
        <w:rPr>
          <w:rFonts w:ascii="Montserrat" w:eastAsia="Times New Roman" w:hAnsi="Montserrat" w:cs="Arial"/>
        </w:rPr>
      </w:pPr>
    </w:p>
    <w:p w14:paraId="1B51F626" w14:textId="04AC9E2D" w:rsidR="00B0059B" w:rsidRPr="00C953B4" w:rsidRDefault="00B0059B" w:rsidP="00B0059B">
      <w:pPr>
        <w:tabs>
          <w:tab w:val="left" w:pos="7260"/>
        </w:tabs>
        <w:jc w:val="both"/>
        <w:rPr>
          <w:rFonts w:ascii="Montserrat" w:eastAsia="Times New Roman" w:hAnsi="Montserrat" w:cs="Arial"/>
        </w:rPr>
      </w:pPr>
      <w:r w:rsidRPr="00C953B4">
        <w:rPr>
          <w:rFonts w:ascii="Montserrat" w:eastAsia="Times New Roman" w:hAnsi="Montserrat" w:cs="Arial"/>
        </w:rPr>
        <w:fldChar w:fldCharType="begin"/>
      </w:r>
      <w:r w:rsidRPr="00C953B4">
        <w:rPr>
          <w:rFonts w:ascii="Montserrat" w:eastAsia="Times New Roman" w:hAnsi="Montserrat" w:cs="Arial"/>
        </w:rPr>
        <w:instrText xml:space="preserve"> LINK Excel.Sheet.12 "C:\\Users\\Admin\\Documents\\0 CCSC CARS\\CUENTA PÚBLICA Y AVANCE DE GESTIÓN\\CUENTA PÚBLICA 2023\\TRIMESTRE 4\\PATRIMONIO PARAESTATAL - NOTAS.xlsx" SEFIP!F1C1:F72C5 \a \f 5 \h  \* MERGEFORMAT </w:instrText>
      </w:r>
      <w:r w:rsidRPr="00C953B4">
        <w:rPr>
          <w:rFonts w:ascii="Montserrat" w:eastAsia="Times New Roman" w:hAnsi="Montserrat" w:cs="Arial"/>
        </w:rPr>
        <w:fldChar w:fldCharType="separate"/>
      </w:r>
    </w:p>
    <w:p w14:paraId="325CCD19" w14:textId="78E1AAE2" w:rsidR="00B0059B" w:rsidRPr="00C953B4" w:rsidRDefault="00B0059B" w:rsidP="00B0059B">
      <w:pPr>
        <w:tabs>
          <w:tab w:val="left" w:pos="7260"/>
        </w:tabs>
        <w:jc w:val="both"/>
        <w:rPr>
          <w:rFonts w:ascii="Montserrat" w:hAnsi="Montserrat"/>
          <w:b/>
        </w:rPr>
      </w:pPr>
      <w:r w:rsidRPr="00C953B4">
        <w:rPr>
          <w:rFonts w:ascii="Montserrat" w:eastAsia="Times New Roman" w:hAnsi="Montserrat" w:cs="Arial"/>
        </w:rPr>
        <w:fldChar w:fldCharType="end"/>
      </w:r>
      <w:r w:rsidRPr="00C953B4">
        <w:rPr>
          <w:rFonts w:ascii="Montserrat" w:hAnsi="Montserrat"/>
          <w:b/>
        </w:rPr>
        <w:t>Fideicomisos, Mandatos y Análogos.</w:t>
      </w:r>
    </w:p>
    <w:p w14:paraId="2D3501E3" w14:textId="77777777" w:rsidR="00B0059B" w:rsidRDefault="00B0059B" w:rsidP="00B0059B">
      <w:pPr>
        <w:tabs>
          <w:tab w:val="left" w:pos="7260"/>
        </w:tabs>
        <w:jc w:val="both"/>
        <w:rPr>
          <w:rFonts w:ascii="Montserrat" w:hAnsi="Montserrat"/>
          <w:b/>
        </w:rPr>
      </w:pPr>
    </w:p>
    <w:p w14:paraId="0B7A2A64" w14:textId="77777777" w:rsidR="00831CEA" w:rsidRPr="00C953B4" w:rsidRDefault="00831CEA" w:rsidP="00B0059B">
      <w:pPr>
        <w:tabs>
          <w:tab w:val="left" w:pos="7260"/>
        </w:tabs>
        <w:jc w:val="both"/>
        <w:rPr>
          <w:rFonts w:ascii="Montserrat" w:hAnsi="Montserrat"/>
          <w:b/>
        </w:rPr>
      </w:pPr>
    </w:p>
    <w:p w14:paraId="65963814" w14:textId="586C33D3" w:rsidR="00B0059B" w:rsidRPr="00C953B4" w:rsidRDefault="00B0059B" w:rsidP="00B0059B">
      <w:pPr>
        <w:tabs>
          <w:tab w:val="left" w:pos="7260"/>
        </w:tabs>
        <w:jc w:val="both"/>
        <w:rPr>
          <w:rFonts w:ascii="Montserrat" w:eastAsia="Times New Roman" w:hAnsi="Montserrat" w:cs="Arial"/>
        </w:rPr>
      </w:pPr>
      <w:r w:rsidRPr="00C953B4">
        <w:rPr>
          <w:rFonts w:ascii="Montserrat" w:eastAsia="Times New Roman" w:hAnsi="Montserrat" w:cs="Arial"/>
        </w:rPr>
        <w:t>A</w:t>
      </w:r>
      <w:r w:rsidR="00831CEA">
        <w:rPr>
          <w:rFonts w:ascii="Montserrat" w:eastAsia="Times New Roman" w:hAnsi="Montserrat" w:cs="Arial"/>
        </w:rPr>
        <w:t>l 31 de diciembre de 20</w:t>
      </w:r>
      <w:r w:rsidR="000669E4">
        <w:rPr>
          <w:rFonts w:ascii="Montserrat" w:eastAsia="Times New Roman" w:hAnsi="Montserrat" w:cs="Arial"/>
        </w:rPr>
        <w:t>2</w:t>
      </w:r>
      <w:r w:rsidR="00831CEA">
        <w:rPr>
          <w:rFonts w:ascii="Montserrat" w:eastAsia="Times New Roman" w:hAnsi="Montserrat" w:cs="Arial"/>
        </w:rPr>
        <w:t>4</w:t>
      </w:r>
      <w:r w:rsidRPr="00C953B4">
        <w:rPr>
          <w:rFonts w:ascii="Montserrat" w:eastAsia="Times New Roman" w:hAnsi="Montserrat" w:cs="Arial"/>
        </w:rPr>
        <w:t xml:space="preserve"> el Estado </w:t>
      </w:r>
      <w:r w:rsidR="00831CEA">
        <w:rPr>
          <w:rFonts w:ascii="Montserrat" w:eastAsia="Times New Roman" w:hAnsi="Montserrat" w:cs="Arial"/>
        </w:rPr>
        <w:t xml:space="preserve">de Oaxaca </w:t>
      </w:r>
      <w:r w:rsidRPr="00C953B4">
        <w:rPr>
          <w:rFonts w:ascii="Montserrat" w:eastAsia="Times New Roman" w:hAnsi="Montserrat" w:cs="Arial"/>
        </w:rPr>
        <w:t>cuenta con 23 Fideicomisos, cuyo detalle se encuentra en el Tomo 1A:</w:t>
      </w:r>
    </w:p>
    <w:p w14:paraId="4EF25691" w14:textId="77777777" w:rsidR="00B0059B" w:rsidRPr="00C953B4" w:rsidRDefault="00B0059B" w:rsidP="00B0059B">
      <w:pPr>
        <w:tabs>
          <w:tab w:val="left" w:pos="7260"/>
        </w:tabs>
        <w:jc w:val="both"/>
        <w:rPr>
          <w:rFonts w:ascii="Montserrat" w:eastAsia="Times New Roman" w:hAnsi="Montserrat" w:cs="Arial"/>
          <w:sz w:val="20"/>
          <w:szCs w:val="20"/>
        </w:rPr>
      </w:pPr>
    </w:p>
    <w:tbl>
      <w:tblPr>
        <w:tblStyle w:val="Tablaconcuadrcula"/>
        <w:tblW w:w="0" w:type="auto"/>
        <w:tblLook w:val="04A0" w:firstRow="1" w:lastRow="0" w:firstColumn="1" w:lastColumn="0" w:noHBand="0" w:noVBand="1"/>
      </w:tblPr>
      <w:tblGrid>
        <w:gridCol w:w="562"/>
        <w:gridCol w:w="1286"/>
        <w:gridCol w:w="3079"/>
        <w:gridCol w:w="2208"/>
        <w:gridCol w:w="1785"/>
      </w:tblGrid>
      <w:tr w:rsidR="00FD2DE6" w:rsidRPr="007D0CC8" w14:paraId="1DA7613E" w14:textId="77777777" w:rsidTr="000669E4">
        <w:trPr>
          <w:trHeight w:val="660"/>
          <w:tblHeader/>
        </w:trPr>
        <w:tc>
          <w:tcPr>
            <w:tcW w:w="562" w:type="dxa"/>
            <w:shd w:val="clear" w:color="auto" w:fill="A6A6A6" w:themeFill="background1" w:themeFillShade="A6"/>
            <w:vAlign w:val="center"/>
            <w:hideMark/>
          </w:tcPr>
          <w:p w14:paraId="763EDA93" w14:textId="3D32DC16" w:rsidR="00A018AA" w:rsidRPr="00732FA0" w:rsidRDefault="00A018AA" w:rsidP="000669E4">
            <w:pPr>
              <w:jc w:val="center"/>
              <w:rPr>
                <w:rFonts w:ascii="Montserrat" w:eastAsia="Times New Roman" w:hAnsi="Montserrat" w:cs="Arial"/>
                <w:b/>
                <w:bCs/>
                <w:color w:val="FFFFFF" w:themeColor="background1"/>
                <w:sz w:val="20"/>
                <w:szCs w:val="20"/>
              </w:rPr>
            </w:pPr>
            <w:r w:rsidRPr="00732FA0">
              <w:rPr>
                <w:rFonts w:ascii="Montserrat" w:eastAsia="Times New Roman" w:hAnsi="Montserrat" w:cs="Arial"/>
                <w:b/>
                <w:bCs/>
                <w:color w:val="FFFFFF" w:themeColor="background1"/>
                <w:sz w:val="20"/>
                <w:szCs w:val="20"/>
              </w:rPr>
              <w:t>No.</w:t>
            </w:r>
          </w:p>
        </w:tc>
        <w:tc>
          <w:tcPr>
            <w:tcW w:w="1286" w:type="dxa"/>
            <w:shd w:val="clear" w:color="auto" w:fill="A6A6A6" w:themeFill="background1" w:themeFillShade="A6"/>
            <w:vAlign w:val="center"/>
            <w:hideMark/>
          </w:tcPr>
          <w:p w14:paraId="64542B97" w14:textId="070C3712" w:rsidR="00A018AA" w:rsidRPr="00732FA0" w:rsidRDefault="00A018AA" w:rsidP="000669E4">
            <w:pPr>
              <w:jc w:val="center"/>
              <w:rPr>
                <w:rFonts w:ascii="Montserrat" w:eastAsia="Times New Roman" w:hAnsi="Montserrat" w:cs="Arial"/>
                <w:b/>
                <w:bCs/>
                <w:color w:val="FFFFFF" w:themeColor="background1"/>
                <w:sz w:val="20"/>
                <w:szCs w:val="20"/>
              </w:rPr>
            </w:pPr>
            <w:r w:rsidRPr="00732FA0">
              <w:rPr>
                <w:rFonts w:ascii="Montserrat" w:eastAsia="Times New Roman" w:hAnsi="Montserrat" w:cs="Arial"/>
                <w:b/>
                <w:bCs/>
                <w:color w:val="FFFFFF" w:themeColor="background1"/>
                <w:sz w:val="20"/>
                <w:szCs w:val="20"/>
              </w:rPr>
              <w:t xml:space="preserve">NÚM. </w:t>
            </w:r>
            <w:proofErr w:type="spellStart"/>
            <w:r w:rsidRPr="00732FA0">
              <w:rPr>
                <w:rFonts w:ascii="Montserrat" w:eastAsia="Times New Roman" w:hAnsi="Montserrat" w:cs="Arial"/>
                <w:b/>
                <w:bCs/>
                <w:color w:val="FFFFFF" w:themeColor="background1"/>
                <w:sz w:val="20"/>
                <w:szCs w:val="20"/>
              </w:rPr>
              <w:t>FIDEICO</w:t>
            </w:r>
            <w:proofErr w:type="spellEnd"/>
            <w:r w:rsidR="001D3D38" w:rsidRPr="00732FA0">
              <w:rPr>
                <w:rFonts w:ascii="Montserrat" w:eastAsia="Times New Roman" w:hAnsi="Montserrat" w:cs="Arial"/>
                <w:b/>
                <w:bCs/>
                <w:color w:val="FFFFFF" w:themeColor="background1"/>
                <w:sz w:val="20"/>
                <w:szCs w:val="20"/>
              </w:rPr>
              <w:t>-</w:t>
            </w:r>
            <w:r w:rsidRPr="00732FA0">
              <w:rPr>
                <w:rFonts w:ascii="Montserrat" w:eastAsia="Times New Roman" w:hAnsi="Montserrat" w:cs="Arial"/>
                <w:b/>
                <w:bCs/>
                <w:color w:val="FFFFFF" w:themeColor="background1"/>
                <w:sz w:val="20"/>
                <w:szCs w:val="20"/>
              </w:rPr>
              <w:t>MISO</w:t>
            </w:r>
          </w:p>
        </w:tc>
        <w:tc>
          <w:tcPr>
            <w:tcW w:w="3392" w:type="dxa"/>
            <w:shd w:val="clear" w:color="auto" w:fill="A6A6A6" w:themeFill="background1" w:themeFillShade="A6"/>
            <w:vAlign w:val="center"/>
            <w:hideMark/>
          </w:tcPr>
          <w:p w14:paraId="0C19392B" w14:textId="412C3506" w:rsidR="00A018AA" w:rsidRPr="00732FA0" w:rsidRDefault="00A018AA" w:rsidP="000669E4">
            <w:pPr>
              <w:jc w:val="center"/>
              <w:rPr>
                <w:rFonts w:ascii="Montserrat" w:eastAsia="Times New Roman" w:hAnsi="Montserrat" w:cs="Arial"/>
                <w:b/>
                <w:bCs/>
                <w:color w:val="FFFFFF" w:themeColor="background1"/>
                <w:sz w:val="20"/>
                <w:szCs w:val="20"/>
              </w:rPr>
            </w:pPr>
            <w:r w:rsidRPr="00732FA0">
              <w:rPr>
                <w:rFonts w:ascii="Montserrat" w:eastAsia="Times New Roman" w:hAnsi="Montserrat" w:cs="Arial"/>
                <w:b/>
                <w:bCs/>
                <w:color w:val="FFFFFF" w:themeColor="background1"/>
                <w:sz w:val="20"/>
                <w:szCs w:val="20"/>
              </w:rPr>
              <w:t>NOMBRE FIDEICOMISO</w:t>
            </w:r>
          </w:p>
        </w:tc>
        <w:tc>
          <w:tcPr>
            <w:tcW w:w="1895" w:type="dxa"/>
            <w:shd w:val="clear" w:color="auto" w:fill="A6A6A6" w:themeFill="background1" w:themeFillShade="A6"/>
            <w:vAlign w:val="center"/>
            <w:hideMark/>
          </w:tcPr>
          <w:p w14:paraId="3EB2DD05" w14:textId="50F32A8D" w:rsidR="00A018AA" w:rsidRPr="00732FA0" w:rsidRDefault="00A018AA" w:rsidP="000669E4">
            <w:pPr>
              <w:jc w:val="center"/>
              <w:rPr>
                <w:rFonts w:ascii="Montserrat" w:eastAsia="Times New Roman" w:hAnsi="Montserrat" w:cs="Arial"/>
                <w:b/>
                <w:bCs/>
                <w:color w:val="FFFFFF" w:themeColor="background1"/>
                <w:sz w:val="20"/>
                <w:szCs w:val="20"/>
              </w:rPr>
            </w:pPr>
            <w:r w:rsidRPr="00732FA0">
              <w:rPr>
                <w:rFonts w:ascii="Montserrat" w:eastAsia="Times New Roman" w:hAnsi="Montserrat" w:cs="Arial"/>
                <w:b/>
                <w:bCs/>
                <w:color w:val="FFFFFF" w:themeColor="background1"/>
                <w:sz w:val="20"/>
                <w:szCs w:val="20"/>
              </w:rPr>
              <w:t>TIPO</w:t>
            </w:r>
          </w:p>
        </w:tc>
        <w:tc>
          <w:tcPr>
            <w:tcW w:w="1785" w:type="dxa"/>
            <w:shd w:val="clear" w:color="auto" w:fill="A6A6A6" w:themeFill="background1" w:themeFillShade="A6"/>
            <w:vAlign w:val="center"/>
            <w:hideMark/>
          </w:tcPr>
          <w:p w14:paraId="6ED5DDB5" w14:textId="6E4F2CB2" w:rsidR="00A018AA" w:rsidRPr="00732FA0" w:rsidRDefault="00A018AA" w:rsidP="000669E4">
            <w:pPr>
              <w:jc w:val="center"/>
              <w:rPr>
                <w:rFonts w:ascii="Montserrat" w:eastAsia="Times New Roman" w:hAnsi="Montserrat" w:cs="Arial"/>
                <w:b/>
                <w:bCs/>
                <w:color w:val="FFFFFF" w:themeColor="background1"/>
                <w:sz w:val="20"/>
                <w:szCs w:val="20"/>
              </w:rPr>
            </w:pPr>
            <w:r w:rsidRPr="00732FA0">
              <w:rPr>
                <w:rFonts w:ascii="Montserrat" w:eastAsia="Times New Roman" w:hAnsi="Montserrat" w:cs="Arial"/>
                <w:b/>
                <w:bCs/>
                <w:color w:val="FFFFFF" w:themeColor="background1"/>
                <w:sz w:val="20"/>
                <w:szCs w:val="20"/>
              </w:rPr>
              <w:t>SALDO</w:t>
            </w:r>
          </w:p>
        </w:tc>
      </w:tr>
      <w:tr w:rsidR="007D0CC8" w:rsidRPr="007D0CC8" w14:paraId="42A97227" w14:textId="77777777" w:rsidTr="007D0CC8">
        <w:trPr>
          <w:trHeight w:val="465"/>
        </w:trPr>
        <w:tc>
          <w:tcPr>
            <w:tcW w:w="562" w:type="dxa"/>
            <w:noWrap/>
            <w:vAlign w:val="center"/>
            <w:hideMark/>
          </w:tcPr>
          <w:p w14:paraId="394A3DFF"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w:t>
            </w:r>
          </w:p>
        </w:tc>
        <w:tc>
          <w:tcPr>
            <w:tcW w:w="1286" w:type="dxa"/>
            <w:noWrap/>
            <w:vAlign w:val="center"/>
            <w:hideMark/>
          </w:tcPr>
          <w:p w14:paraId="70393B7F" w14:textId="5533D788"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6259</w:t>
            </w:r>
          </w:p>
        </w:tc>
        <w:tc>
          <w:tcPr>
            <w:tcW w:w="3392" w:type="dxa"/>
            <w:vAlign w:val="center"/>
            <w:hideMark/>
          </w:tcPr>
          <w:p w14:paraId="5EAC6B80" w14:textId="7C7E5C58"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"ALIANZA PARA EL CAMPO DE OAXACA" (</w:t>
            </w:r>
            <w:proofErr w:type="spellStart"/>
            <w:r w:rsidRPr="007D0CC8">
              <w:rPr>
                <w:rFonts w:ascii="Montserrat" w:eastAsia="Times New Roman" w:hAnsi="Montserrat" w:cs="Arial"/>
                <w:sz w:val="20"/>
                <w:szCs w:val="20"/>
              </w:rPr>
              <w:t>FAPCO</w:t>
            </w:r>
            <w:proofErr w:type="spellEnd"/>
            <w:r w:rsidRPr="007D0CC8">
              <w:rPr>
                <w:rFonts w:ascii="Montserrat" w:eastAsia="Times New Roman" w:hAnsi="Montserrat" w:cs="Arial"/>
                <w:sz w:val="20"/>
                <w:szCs w:val="20"/>
              </w:rPr>
              <w:t xml:space="preserve">)      </w:t>
            </w:r>
          </w:p>
        </w:tc>
        <w:tc>
          <w:tcPr>
            <w:tcW w:w="1895" w:type="dxa"/>
            <w:vAlign w:val="center"/>
            <w:hideMark/>
          </w:tcPr>
          <w:p w14:paraId="17A4EACA" w14:textId="0354DBAF"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 xml:space="preserve">INVERSIÓN Y ADMINISTRACIÓN </w:t>
            </w:r>
          </w:p>
        </w:tc>
        <w:tc>
          <w:tcPr>
            <w:tcW w:w="1785" w:type="dxa"/>
            <w:noWrap/>
            <w:vAlign w:val="center"/>
            <w:hideMark/>
          </w:tcPr>
          <w:p w14:paraId="2CD00054" w14:textId="6853A906"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43,875,328.51 </w:t>
            </w:r>
          </w:p>
        </w:tc>
      </w:tr>
      <w:tr w:rsidR="007D0CC8" w:rsidRPr="007D0CC8" w14:paraId="4A2E450B" w14:textId="77777777" w:rsidTr="007D0CC8">
        <w:trPr>
          <w:trHeight w:val="465"/>
        </w:trPr>
        <w:tc>
          <w:tcPr>
            <w:tcW w:w="562" w:type="dxa"/>
            <w:noWrap/>
            <w:vAlign w:val="center"/>
            <w:hideMark/>
          </w:tcPr>
          <w:p w14:paraId="798D21A0"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lastRenderedPageBreak/>
              <w:t>2</w:t>
            </w:r>
          </w:p>
        </w:tc>
        <w:tc>
          <w:tcPr>
            <w:tcW w:w="1286" w:type="dxa"/>
            <w:noWrap/>
            <w:vAlign w:val="center"/>
            <w:hideMark/>
          </w:tcPr>
          <w:p w14:paraId="364FE0B3" w14:textId="40AD23B5"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360293021</w:t>
            </w:r>
          </w:p>
        </w:tc>
        <w:tc>
          <w:tcPr>
            <w:tcW w:w="3392" w:type="dxa"/>
            <w:vAlign w:val="center"/>
            <w:hideMark/>
          </w:tcPr>
          <w:p w14:paraId="316C0A52" w14:textId="21D36CF5"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"MENORES DE SANTIAGO XOCHILTEPEC"</w:t>
            </w:r>
          </w:p>
        </w:tc>
        <w:tc>
          <w:tcPr>
            <w:tcW w:w="1895" w:type="dxa"/>
            <w:vAlign w:val="center"/>
            <w:hideMark/>
          </w:tcPr>
          <w:p w14:paraId="18D4B6B8" w14:textId="100E1A5F"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 xml:space="preserve">ADMINISTRACIÓN E INVERSIÓN </w:t>
            </w:r>
          </w:p>
        </w:tc>
        <w:tc>
          <w:tcPr>
            <w:tcW w:w="1785" w:type="dxa"/>
            <w:noWrap/>
            <w:vAlign w:val="center"/>
            <w:hideMark/>
          </w:tcPr>
          <w:p w14:paraId="33727CE6" w14:textId="1E435528"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548,900.94 </w:t>
            </w:r>
          </w:p>
        </w:tc>
      </w:tr>
      <w:tr w:rsidR="007D0CC8" w:rsidRPr="007D0CC8" w14:paraId="44A3AECD" w14:textId="77777777" w:rsidTr="007D0CC8">
        <w:trPr>
          <w:trHeight w:val="690"/>
        </w:trPr>
        <w:tc>
          <w:tcPr>
            <w:tcW w:w="562" w:type="dxa"/>
            <w:noWrap/>
            <w:vAlign w:val="center"/>
            <w:hideMark/>
          </w:tcPr>
          <w:p w14:paraId="6C1B8764"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3</w:t>
            </w:r>
          </w:p>
        </w:tc>
        <w:tc>
          <w:tcPr>
            <w:tcW w:w="1286" w:type="dxa"/>
            <w:noWrap/>
            <w:vAlign w:val="center"/>
            <w:hideMark/>
          </w:tcPr>
          <w:p w14:paraId="772603B5" w14:textId="50E27944"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11600</w:t>
            </w:r>
          </w:p>
        </w:tc>
        <w:tc>
          <w:tcPr>
            <w:tcW w:w="3392" w:type="dxa"/>
            <w:vAlign w:val="center"/>
            <w:hideMark/>
          </w:tcPr>
          <w:p w14:paraId="086924AD" w14:textId="590E5595"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 xml:space="preserve">CONTRATO DE FIDEICOMISO IRREVOCABLE DE ADMINISTRACIÓN Y PAGO </w:t>
            </w:r>
          </w:p>
        </w:tc>
        <w:tc>
          <w:tcPr>
            <w:tcW w:w="1895" w:type="dxa"/>
            <w:vAlign w:val="center"/>
            <w:hideMark/>
          </w:tcPr>
          <w:p w14:paraId="44B0C64E" w14:textId="1D63BDDA"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IRREVOCABLE DE ADMINISTRACIÓN Y PAGO</w:t>
            </w:r>
          </w:p>
        </w:tc>
        <w:tc>
          <w:tcPr>
            <w:tcW w:w="1785" w:type="dxa"/>
            <w:noWrap/>
            <w:vAlign w:val="center"/>
            <w:hideMark/>
          </w:tcPr>
          <w:p w14:paraId="4CB486C9" w14:textId="13474FF4"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34.35 </w:t>
            </w:r>
          </w:p>
        </w:tc>
      </w:tr>
      <w:tr w:rsidR="007D0CC8" w:rsidRPr="007D0CC8" w14:paraId="2AD177E3" w14:textId="77777777" w:rsidTr="007D0CC8">
        <w:trPr>
          <w:trHeight w:val="915"/>
        </w:trPr>
        <w:tc>
          <w:tcPr>
            <w:tcW w:w="562" w:type="dxa"/>
            <w:noWrap/>
            <w:vAlign w:val="center"/>
            <w:hideMark/>
          </w:tcPr>
          <w:p w14:paraId="5675C9E2"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4</w:t>
            </w:r>
          </w:p>
        </w:tc>
        <w:tc>
          <w:tcPr>
            <w:tcW w:w="1286" w:type="dxa"/>
            <w:noWrap/>
            <w:vAlign w:val="center"/>
            <w:hideMark/>
          </w:tcPr>
          <w:p w14:paraId="7FCED404" w14:textId="173A3045"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17556</w:t>
            </w:r>
          </w:p>
        </w:tc>
        <w:tc>
          <w:tcPr>
            <w:tcW w:w="3392" w:type="dxa"/>
            <w:vAlign w:val="center"/>
            <w:hideMark/>
          </w:tcPr>
          <w:p w14:paraId="3CA89364" w14:textId="5F725FCC"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FIDEICOMISOS IRREVOCABLE DE ADMINISTRACIÓN E INVERSIÓN (POLICÍAS ACAECIDOS EN CUMPLIMIENTO DE SU DEBER)</w:t>
            </w:r>
          </w:p>
        </w:tc>
        <w:tc>
          <w:tcPr>
            <w:tcW w:w="1895" w:type="dxa"/>
            <w:vAlign w:val="center"/>
            <w:hideMark/>
          </w:tcPr>
          <w:p w14:paraId="2A2B3992" w14:textId="2FA8BC5A"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 xml:space="preserve">IRREVOCABLE DE ADMINISTRACIÓN E INVERSIÓN </w:t>
            </w:r>
          </w:p>
        </w:tc>
        <w:tc>
          <w:tcPr>
            <w:tcW w:w="1785" w:type="dxa"/>
            <w:noWrap/>
            <w:vAlign w:val="center"/>
            <w:hideMark/>
          </w:tcPr>
          <w:p w14:paraId="574C7280" w14:textId="06CE137D"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595,791.17 </w:t>
            </w:r>
          </w:p>
        </w:tc>
      </w:tr>
      <w:tr w:rsidR="007D0CC8" w:rsidRPr="007D0CC8" w14:paraId="32ED41F4" w14:textId="77777777" w:rsidTr="007D0CC8">
        <w:trPr>
          <w:trHeight w:val="915"/>
        </w:trPr>
        <w:tc>
          <w:tcPr>
            <w:tcW w:w="562" w:type="dxa"/>
            <w:noWrap/>
            <w:vAlign w:val="center"/>
            <w:hideMark/>
          </w:tcPr>
          <w:p w14:paraId="40F0FBB5"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5</w:t>
            </w:r>
          </w:p>
        </w:tc>
        <w:tc>
          <w:tcPr>
            <w:tcW w:w="1286" w:type="dxa"/>
            <w:noWrap/>
            <w:vAlign w:val="center"/>
            <w:hideMark/>
          </w:tcPr>
          <w:p w14:paraId="77F52A17" w14:textId="4F13253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80678</w:t>
            </w:r>
          </w:p>
        </w:tc>
        <w:tc>
          <w:tcPr>
            <w:tcW w:w="3392" w:type="dxa"/>
            <w:vAlign w:val="center"/>
            <w:hideMark/>
          </w:tcPr>
          <w:p w14:paraId="135C9E4F" w14:textId="67EBE2B3"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 xml:space="preserve">FIDEICOMISO PARA EL DESARROLLO LOGÍSTICO DEL ESTADO DE OAXACA / </w:t>
            </w:r>
            <w:proofErr w:type="spellStart"/>
            <w:r w:rsidRPr="007D0CC8">
              <w:rPr>
                <w:rFonts w:ascii="Montserrat" w:eastAsia="Times New Roman" w:hAnsi="Montserrat" w:cs="Arial"/>
                <w:sz w:val="20"/>
                <w:szCs w:val="20"/>
              </w:rPr>
              <w:t>FIDELO</w:t>
            </w:r>
            <w:proofErr w:type="spellEnd"/>
          </w:p>
        </w:tc>
        <w:tc>
          <w:tcPr>
            <w:tcW w:w="1895" w:type="dxa"/>
            <w:vAlign w:val="center"/>
            <w:hideMark/>
          </w:tcPr>
          <w:p w14:paraId="6331EA2E" w14:textId="668643C6"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IRREVOCABLE TRASLATIVO DE DOMINIO Y DE ADMINISTRACIÓN</w:t>
            </w:r>
          </w:p>
        </w:tc>
        <w:tc>
          <w:tcPr>
            <w:tcW w:w="1785" w:type="dxa"/>
            <w:noWrap/>
            <w:vAlign w:val="center"/>
            <w:hideMark/>
          </w:tcPr>
          <w:p w14:paraId="0CF1CA5E" w14:textId="4F2EAE61"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20,957,751.59 </w:t>
            </w:r>
          </w:p>
        </w:tc>
      </w:tr>
      <w:tr w:rsidR="007D0CC8" w:rsidRPr="007D0CC8" w14:paraId="2542CCAF" w14:textId="77777777" w:rsidTr="007D0CC8">
        <w:trPr>
          <w:trHeight w:val="690"/>
        </w:trPr>
        <w:tc>
          <w:tcPr>
            <w:tcW w:w="562" w:type="dxa"/>
            <w:noWrap/>
            <w:vAlign w:val="center"/>
            <w:hideMark/>
          </w:tcPr>
          <w:p w14:paraId="53080442"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6</w:t>
            </w:r>
          </w:p>
        </w:tc>
        <w:tc>
          <w:tcPr>
            <w:tcW w:w="1286" w:type="dxa"/>
            <w:noWrap/>
            <w:vAlign w:val="center"/>
            <w:hideMark/>
          </w:tcPr>
          <w:p w14:paraId="759830EA" w14:textId="7880E98E"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2050</w:t>
            </w:r>
          </w:p>
        </w:tc>
        <w:tc>
          <w:tcPr>
            <w:tcW w:w="3392" w:type="dxa"/>
            <w:vAlign w:val="center"/>
            <w:hideMark/>
          </w:tcPr>
          <w:p w14:paraId="6A997226" w14:textId="2D5F1364"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PARA EL DESARROLLO REGIONAL SUR SURESTE (</w:t>
            </w:r>
            <w:proofErr w:type="spellStart"/>
            <w:r w:rsidRPr="007D0CC8">
              <w:rPr>
                <w:rFonts w:ascii="Montserrat" w:eastAsia="Times New Roman" w:hAnsi="Montserrat" w:cs="Arial"/>
                <w:sz w:val="20"/>
                <w:szCs w:val="20"/>
              </w:rPr>
              <w:t>FIDESUR</w:t>
            </w:r>
            <w:proofErr w:type="spellEnd"/>
            <w:r w:rsidRPr="007D0CC8">
              <w:rPr>
                <w:rFonts w:ascii="Montserrat" w:eastAsia="Times New Roman" w:hAnsi="Montserrat" w:cs="Arial"/>
                <w:sz w:val="20"/>
                <w:szCs w:val="20"/>
              </w:rPr>
              <w:t>)</w:t>
            </w:r>
          </w:p>
        </w:tc>
        <w:tc>
          <w:tcPr>
            <w:tcW w:w="1895" w:type="dxa"/>
            <w:vAlign w:val="center"/>
            <w:hideMark/>
          </w:tcPr>
          <w:p w14:paraId="1BBD0070" w14:textId="10177509"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INVERSIÓN Y FUENTE DE PAGO</w:t>
            </w:r>
          </w:p>
        </w:tc>
        <w:tc>
          <w:tcPr>
            <w:tcW w:w="1785" w:type="dxa"/>
            <w:noWrap/>
            <w:vAlign w:val="center"/>
            <w:hideMark/>
          </w:tcPr>
          <w:p w14:paraId="3CC679FE" w14:textId="42D7D592"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2,018,635.30 </w:t>
            </w:r>
          </w:p>
        </w:tc>
      </w:tr>
      <w:tr w:rsidR="007D0CC8" w:rsidRPr="007D0CC8" w14:paraId="64C2BC14" w14:textId="77777777" w:rsidTr="007D0CC8">
        <w:trPr>
          <w:trHeight w:val="690"/>
        </w:trPr>
        <w:tc>
          <w:tcPr>
            <w:tcW w:w="562" w:type="dxa"/>
            <w:noWrap/>
            <w:vAlign w:val="center"/>
            <w:hideMark/>
          </w:tcPr>
          <w:p w14:paraId="0EB30D06"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7</w:t>
            </w:r>
          </w:p>
        </w:tc>
        <w:tc>
          <w:tcPr>
            <w:tcW w:w="1286" w:type="dxa"/>
            <w:noWrap/>
            <w:vAlign w:val="center"/>
            <w:hideMark/>
          </w:tcPr>
          <w:p w14:paraId="0607628B" w14:textId="5A8A362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5868</w:t>
            </w:r>
          </w:p>
        </w:tc>
        <w:tc>
          <w:tcPr>
            <w:tcW w:w="3392" w:type="dxa"/>
            <w:vAlign w:val="center"/>
            <w:hideMark/>
          </w:tcPr>
          <w:p w14:paraId="645C2D49" w14:textId="25A5805C"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DE FONDO DE VIVIENDA MAGISTERIAL (</w:t>
            </w:r>
            <w:proofErr w:type="spellStart"/>
            <w:r w:rsidRPr="007D0CC8">
              <w:rPr>
                <w:rFonts w:ascii="Montserrat" w:eastAsia="Times New Roman" w:hAnsi="Montserrat" w:cs="Arial"/>
                <w:sz w:val="20"/>
                <w:szCs w:val="20"/>
              </w:rPr>
              <w:t>FIPROVIM</w:t>
            </w:r>
            <w:proofErr w:type="spellEnd"/>
            <w:r w:rsidRPr="007D0CC8">
              <w:rPr>
                <w:rFonts w:ascii="Montserrat" w:eastAsia="Times New Roman" w:hAnsi="Montserrat" w:cs="Arial"/>
                <w:sz w:val="20"/>
                <w:szCs w:val="20"/>
              </w:rPr>
              <w:t>)</w:t>
            </w:r>
          </w:p>
        </w:tc>
        <w:tc>
          <w:tcPr>
            <w:tcW w:w="1895" w:type="dxa"/>
            <w:vAlign w:val="center"/>
            <w:hideMark/>
          </w:tcPr>
          <w:p w14:paraId="3F422B9A" w14:textId="24F1FAD4"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ADMINISTRACIÓN</w:t>
            </w:r>
          </w:p>
        </w:tc>
        <w:tc>
          <w:tcPr>
            <w:tcW w:w="1785" w:type="dxa"/>
            <w:noWrap/>
            <w:vAlign w:val="center"/>
            <w:hideMark/>
          </w:tcPr>
          <w:p w14:paraId="688F83DE" w14:textId="45C585FC"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72,022,089.94 </w:t>
            </w:r>
          </w:p>
        </w:tc>
      </w:tr>
      <w:tr w:rsidR="007D0CC8" w:rsidRPr="007D0CC8" w14:paraId="6B5F6CAE" w14:textId="77777777" w:rsidTr="007D0CC8">
        <w:trPr>
          <w:trHeight w:val="915"/>
        </w:trPr>
        <w:tc>
          <w:tcPr>
            <w:tcW w:w="562" w:type="dxa"/>
            <w:noWrap/>
            <w:vAlign w:val="center"/>
            <w:hideMark/>
          </w:tcPr>
          <w:p w14:paraId="1DB642B4"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8</w:t>
            </w:r>
          </w:p>
        </w:tc>
        <w:tc>
          <w:tcPr>
            <w:tcW w:w="1286" w:type="dxa"/>
            <w:noWrap/>
            <w:vAlign w:val="center"/>
            <w:hideMark/>
          </w:tcPr>
          <w:p w14:paraId="7429BB65" w14:textId="5394FA59"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360314033</w:t>
            </w:r>
          </w:p>
        </w:tc>
        <w:tc>
          <w:tcPr>
            <w:tcW w:w="3392" w:type="dxa"/>
            <w:vAlign w:val="center"/>
            <w:hideMark/>
          </w:tcPr>
          <w:p w14:paraId="000700E4" w14:textId="784FAE84"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"FONDO DE GARANTÍA PARA LAS EMPRESAS DE SOLIDARIDAD DEL ESTADO DE OAXACA (</w:t>
            </w:r>
            <w:proofErr w:type="spellStart"/>
            <w:r w:rsidRPr="007D0CC8">
              <w:rPr>
                <w:rFonts w:ascii="Montserrat" w:eastAsia="Times New Roman" w:hAnsi="Montserrat" w:cs="Arial"/>
                <w:sz w:val="20"/>
                <w:szCs w:val="20"/>
              </w:rPr>
              <w:t>FOGAROAX</w:t>
            </w:r>
            <w:proofErr w:type="spellEnd"/>
            <w:r w:rsidRPr="007D0CC8">
              <w:rPr>
                <w:rFonts w:ascii="Montserrat" w:eastAsia="Times New Roman" w:hAnsi="Montserrat" w:cs="Arial"/>
                <w:sz w:val="20"/>
                <w:szCs w:val="20"/>
              </w:rPr>
              <w:t>)"</w:t>
            </w:r>
          </w:p>
        </w:tc>
        <w:tc>
          <w:tcPr>
            <w:tcW w:w="1895" w:type="dxa"/>
            <w:vAlign w:val="center"/>
            <w:hideMark/>
          </w:tcPr>
          <w:p w14:paraId="27B9CD39" w14:textId="6FC25580"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INVERSIÓN Y GARANTÍA</w:t>
            </w:r>
            <w:r w:rsidRPr="007D0CC8">
              <w:rPr>
                <w:rFonts w:ascii="Montserrat" w:eastAsia="Times New Roman" w:hAnsi="Montserrat" w:cs="Arial"/>
                <w:sz w:val="20"/>
                <w:szCs w:val="20"/>
              </w:rPr>
              <w:br/>
              <w:t>COMPLEMENTARIA</w:t>
            </w:r>
          </w:p>
        </w:tc>
        <w:tc>
          <w:tcPr>
            <w:tcW w:w="1785" w:type="dxa"/>
            <w:noWrap/>
            <w:vAlign w:val="center"/>
            <w:hideMark/>
          </w:tcPr>
          <w:p w14:paraId="1E02C57F" w14:textId="5D47BD7D"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4,210,172.55 </w:t>
            </w:r>
          </w:p>
        </w:tc>
      </w:tr>
      <w:tr w:rsidR="007D0CC8" w:rsidRPr="007D0CC8" w14:paraId="53E5046C" w14:textId="77777777" w:rsidTr="007D0CC8">
        <w:trPr>
          <w:trHeight w:val="1140"/>
        </w:trPr>
        <w:tc>
          <w:tcPr>
            <w:tcW w:w="562" w:type="dxa"/>
            <w:noWrap/>
            <w:vAlign w:val="center"/>
            <w:hideMark/>
          </w:tcPr>
          <w:p w14:paraId="46D93D5B"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9</w:t>
            </w:r>
          </w:p>
        </w:tc>
        <w:tc>
          <w:tcPr>
            <w:tcW w:w="1286" w:type="dxa"/>
            <w:noWrap/>
            <w:vAlign w:val="center"/>
            <w:hideMark/>
          </w:tcPr>
          <w:p w14:paraId="1713A680" w14:textId="5D1108D8"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28445-5</w:t>
            </w:r>
          </w:p>
        </w:tc>
        <w:tc>
          <w:tcPr>
            <w:tcW w:w="3392" w:type="dxa"/>
            <w:vAlign w:val="center"/>
            <w:hideMark/>
          </w:tcPr>
          <w:p w14:paraId="67E73931" w14:textId="4DC42C61"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PARA EL PROGRAMA ESPECIAL DE FINANCIAMIENTO A LA VIVIENDA PARA EL MAGISTERIO DEL ESTADO DE OAXACA (</w:t>
            </w:r>
            <w:proofErr w:type="spellStart"/>
            <w:r w:rsidRPr="007D0CC8">
              <w:rPr>
                <w:rFonts w:ascii="Montserrat" w:eastAsia="Times New Roman" w:hAnsi="Montserrat" w:cs="Arial"/>
                <w:sz w:val="20"/>
                <w:szCs w:val="20"/>
              </w:rPr>
              <w:t>FOVIMOAX</w:t>
            </w:r>
            <w:proofErr w:type="spellEnd"/>
            <w:r w:rsidRPr="007D0CC8">
              <w:rPr>
                <w:rFonts w:ascii="Montserrat" w:eastAsia="Times New Roman" w:hAnsi="Montserrat" w:cs="Arial"/>
                <w:sz w:val="20"/>
                <w:szCs w:val="20"/>
              </w:rPr>
              <w:t>)</w:t>
            </w:r>
          </w:p>
        </w:tc>
        <w:tc>
          <w:tcPr>
            <w:tcW w:w="1895" w:type="dxa"/>
            <w:vAlign w:val="center"/>
            <w:hideMark/>
          </w:tcPr>
          <w:p w14:paraId="2C89EB96" w14:textId="3E0EBEBA"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INVERSIÓN Y ADMINISTRACIÓN</w:t>
            </w:r>
          </w:p>
        </w:tc>
        <w:tc>
          <w:tcPr>
            <w:tcW w:w="1785" w:type="dxa"/>
            <w:noWrap/>
            <w:vAlign w:val="center"/>
            <w:hideMark/>
          </w:tcPr>
          <w:p w14:paraId="421FAAB7" w14:textId="645ED7FC"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65,468,347.00 </w:t>
            </w:r>
          </w:p>
        </w:tc>
      </w:tr>
      <w:tr w:rsidR="007D0CC8" w:rsidRPr="007D0CC8" w14:paraId="1E595018" w14:textId="77777777" w:rsidTr="007D0CC8">
        <w:trPr>
          <w:trHeight w:val="690"/>
        </w:trPr>
        <w:tc>
          <w:tcPr>
            <w:tcW w:w="562" w:type="dxa"/>
            <w:noWrap/>
            <w:vAlign w:val="center"/>
            <w:hideMark/>
          </w:tcPr>
          <w:p w14:paraId="13E78A30"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10</w:t>
            </w:r>
          </w:p>
        </w:tc>
        <w:tc>
          <w:tcPr>
            <w:tcW w:w="1286" w:type="dxa"/>
            <w:noWrap/>
            <w:vAlign w:val="center"/>
            <w:hideMark/>
          </w:tcPr>
          <w:p w14:paraId="34AD1CF1" w14:textId="3E152795"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80697</w:t>
            </w:r>
          </w:p>
        </w:tc>
        <w:tc>
          <w:tcPr>
            <w:tcW w:w="3392" w:type="dxa"/>
            <w:vAlign w:val="center"/>
            <w:hideMark/>
          </w:tcPr>
          <w:p w14:paraId="703C2AA8" w14:textId="25197340"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"OFICINA DE CONVENCIONES Y VISITANTES DE OAXACA, OCV OAXACA (OCV)"</w:t>
            </w:r>
          </w:p>
        </w:tc>
        <w:tc>
          <w:tcPr>
            <w:tcW w:w="1895" w:type="dxa"/>
            <w:vAlign w:val="center"/>
            <w:hideMark/>
          </w:tcPr>
          <w:p w14:paraId="4F3D5874" w14:textId="7C55F940"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ENTIDAD PARAESTATAL</w:t>
            </w:r>
          </w:p>
        </w:tc>
        <w:tc>
          <w:tcPr>
            <w:tcW w:w="1785" w:type="dxa"/>
            <w:noWrap/>
            <w:vAlign w:val="center"/>
            <w:hideMark/>
          </w:tcPr>
          <w:p w14:paraId="7F7749DB" w14:textId="2D997E4D"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543,349.48 </w:t>
            </w:r>
          </w:p>
        </w:tc>
      </w:tr>
      <w:tr w:rsidR="007D0CC8" w:rsidRPr="007D0CC8" w14:paraId="76EFA95A" w14:textId="77777777" w:rsidTr="007D0CC8">
        <w:trPr>
          <w:trHeight w:val="465"/>
        </w:trPr>
        <w:tc>
          <w:tcPr>
            <w:tcW w:w="562" w:type="dxa"/>
            <w:noWrap/>
            <w:vAlign w:val="center"/>
            <w:hideMark/>
          </w:tcPr>
          <w:p w14:paraId="6362742B"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11</w:t>
            </w:r>
          </w:p>
        </w:tc>
        <w:tc>
          <w:tcPr>
            <w:tcW w:w="1286" w:type="dxa"/>
            <w:noWrap/>
            <w:vAlign w:val="center"/>
            <w:hideMark/>
          </w:tcPr>
          <w:p w14:paraId="530F9273" w14:textId="30BD1F55"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80736</w:t>
            </w:r>
          </w:p>
        </w:tc>
        <w:tc>
          <w:tcPr>
            <w:tcW w:w="3392" w:type="dxa"/>
            <w:vAlign w:val="center"/>
            <w:hideMark/>
          </w:tcPr>
          <w:p w14:paraId="17723726" w14:textId="4603EEE9"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DE FOMENTO PARA EL ESTADO DE OAXACA (</w:t>
            </w:r>
            <w:proofErr w:type="spellStart"/>
            <w:r w:rsidRPr="007D0CC8">
              <w:rPr>
                <w:rFonts w:ascii="Montserrat" w:eastAsia="Times New Roman" w:hAnsi="Montserrat" w:cs="Arial"/>
                <w:sz w:val="20"/>
                <w:szCs w:val="20"/>
              </w:rPr>
              <w:t>FIFEO</w:t>
            </w:r>
            <w:proofErr w:type="spellEnd"/>
            <w:r w:rsidRPr="007D0CC8">
              <w:rPr>
                <w:rFonts w:ascii="Montserrat" w:eastAsia="Times New Roman" w:hAnsi="Montserrat" w:cs="Arial"/>
                <w:sz w:val="20"/>
                <w:szCs w:val="20"/>
              </w:rPr>
              <w:t>)</w:t>
            </w:r>
          </w:p>
        </w:tc>
        <w:tc>
          <w:tcPr>
            <w:tcW w:w="1895" w:type="dxa"/>
            <w:vAlign w:val="center"/>
            <w:hideMark/>
          </w:tcPr>
          <w:p w14:paraId="13BA5977" w14:textId="0565ECD3"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ENTIDAD PARAESTATAL</w:t>
            </w:r>
          </w:p>
        </w:tc>
        <w:tc>
          <w:tcPr>
            <w:tcW w:w="1785" w:type="dxa"/>
            <w:noWrap/>
            <w:vAlign w:val="center"/>
            <w:hideMark/>
          </w:tcPr>
          <w:p w14:paraId="6F06E798" w14:textId="1F3512AE"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55,425,651.05 </w:t>
            </w:r>
          </w:p>
        </w:tc>
      </w:tr>
      <w:tr w:rsidR="007D0CC8" w:rsidRPr="007D0CC8" w14:paraId="36EDBF49" w14:textId="77777777" w:rsidTr="007D0CC8">
        <w:trPr>
          <w:trHeight w:val="528"/>
        </w:trPr>
        <w:tc>
          <w:tcPr>
            <w:tcW w:w="562" w:type="dxa"/>
            <w:noWrap/>
            <w:vAlign w:val="center"/>
            <w:hideMark/>
          </w:tcPr>
          <w:p w14:paraId="6340DAB4"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lastRenderedPageBreak/>
              <w:t>12</w:t>
            </w:r>
          </w:p>
        </w:tc>
        <w:tc>
          <w:tcPr>
            <w:tcW w:w="1286" w:type="dxa"/>
            <w:noWrap/>
            <w:vAlign w:val="center"/>
            <w:hideMark/>
          </w:tcPr>
          <w:p w14:paraId="4A1312B7" w14:textId="57AA3531"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2003410-1</w:t>
            </w:r>
          </w:p>
        </w:tc>
        <w:tc>
          <w:tcPr>
            <w:tcW w:w="3392" w:type="dxa"/>
            <w:vAlign w:val="center"/>
            <w:hideMark/>
          </w:tcPr>
          <w:p w14:paraId="58C1E2D3" w14:textId="7D686280"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FONDO DE PENSIONES PARA LOS INTEGRANTES DE LAS INSTITUCIONES POLICIALES DE LA SECRETARÍA DE SEGURIDAD PÚBLICA DEL ESTADO DE OAXACA</w:t>
            </w:r>
          </w:p>
        </w:tc>
        <w:tc>
          <w:tcPr>
            <w:tcW w:w="1895" w:type="dxa"/>
            <w:vAlign w:val="center"/>
            <w:hideMark/>
          </w:tcPr>
          <w:p w14:paraId="2127AB85" w14:textId="60F2FF09"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 xml:space="preserve">ADMINISTRACIÓN, INVERSIÓN Y PAGO </w:t>
            </w:r>
          </w:p>
        </w:tc>
        <w:tc>
          <w:tcPr>
            <w:tcW w:w="1785" w:type="dxa"/>
            <w:noWrap/>
            <w:vAlign w:val="center"/>
            <w:hideMark/>
          </w:tcPr>
          <w:p w14:paraId="09EBD241" w14:textId="652ED821"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63,475,447.58 </w:t>
            </w:r>
          </w:p>
        </w:tc>
      </w:tr>
      <w:tr w:rsidR="007D0CC8" w:rsidRPr="007D0CC8" w14:paraId="248A0625" w14:textId="77777777" w:rsidTr="007D0CC8">
        <w:trPr>
          <w:trHeight w:val="514"/>
        </w:trPr>
        <w:tc>
          <w:tcPr>
            <w:tcW w:w="562" w:type="dxa"/>
            <w:noWrap/>
            <w:vAlign w:val="center"/>
            <w:hideMark/>
          </w:tcPr>
          <w:p w14:paraId="59D02BC9"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13</w:t>
            </w:r>
          </w:p>
        </w:tc>
        <w:tc>
          <w:tcPr>
            <w:tcW w:w="1286" w:type="dxa"/>
            <w:noWrap/>
            <w:vAlign w:val="center"/>
            <w:hideMark/>
          </w:tcPr>
          <w:p w14:paraId="222C96D0" w14:textId="47FE7FE8"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80063</w:t>
            </w:r>
          </w:p>
        </w:tc>
        <w:tc>
          <w:tcPr>
            <w:tcW w:w="3392" w:type="dxa"/>
            <w:vAlign w:val="center"/>
            <w:hideMark/>
          </w:tcPr>
          <w:p w14:paraId="23A26668" w14:textId="157D819A"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DEL FONDO PARA EL FOMENTO ESTATAL DE LAS ACTIVIDADES PRODUCTIVAS DE OAXACA (</w:t>
            </w:r>
            <w:proofErr w:type="spellStart"/>
            <w:r w:rsidRPr="007D0CC8">
              <w:rPr>
                <w:rFonts w:ascii="Montserrat" w:eastAsia="Times New Roman" w:hAnsi="Montserrat" w:cs="Arial"/>
                <w:sz w:val="20"/>
                <w:szCs w:val="20"/>
              </w:rPr>
              <w:t>FIDEAPO</w:t>
            </w:r>
            <w:proofErr w:type="spellEnd"/>
            <w:r w:rsidRPr="007D0CC8">
              <w:rPr>
                <w:rFonts w:ascii="Montserrat" w:eastAsia="Times New Roman" w:hAnsi="Montserrat" w:cs="Arial"/>
                <w:sz w:val="20"/>
                <w:szCs w:val="20"/>
              </w:rPr>
              <w:t xml:space="preserve">) </w:t>
            </w:r>
          </w:p>
        </w:tc>
        <w:tc>
          <w:tcPr>
            <w:tcW w:w="1895" w:type="dxa"/>
            <w:vAlign w:val="center"/>
            <w:hideMark/>
          </w:tcPr>
          <w:p w14:paraId="283F6A24" w14:textId="2318F527"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ENTIDAD PARAESTATAL</w:t>
            </w:r>
          </w:p>
        </w:tc>
        <w:tc>
          <w:tcPr>
            <w:tcW w:w="1785" w:type="dxa"/>
            <w:noWrap/>
            <w:vAlign w:val="center"/>
            <w:hideMark/>
          </w:tcPr>
          <w:p w14:paraId="23D7B00F" w14:textId="7AAF4892"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14,573,702.83 </w:t>
            </w:r>
          </w:p>
        </w:tc>
      </w:tr>
      <w:tr w:rsidR="007D0CC8" w:rsidRPr="007D0CC8" w14:paraId="7EE769DA" w14:textId="77777777" w:rsidTr="007D0CC8">
        <w:trPr>
          <w:trHeight w:val="915"/>
        </w:trPr>
        <w:tc>
          <w:tcPr>
            <w:tcW w:w="562" w:type="dxa"/>
            <w:noWrap/>
            <w:vAlign w:val="center"/>
            <w:hideMark/>
          </w:tcPr>
          <w:p w14:paraId="5E1A72FC"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14</w:t>
            </w:r>
          </w:p>
        </w:tc>
        <w:tc>
          <w:tcPr>
            <w:tcW w:w="1286" w:type="dxa"/>
            <w:noWrap/>
            <w:vAlign w:val="center"/>
            <w:hideMark/>
          </w:tcPr>
          <w:p w14:paraId="37BA1A92" w14:textId="19201390"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80064</w:t>
            </w:r>
          </w:p>
        </w:tc>
        <w:tc>
          <w:tcPr>
            <w:tcW w:w="3392" w:type="dxa"/>
            <w:vAlign w:val="center"/>
            <w:hideMark/>
          </w:tcPr>
          <w:p w14:paraId="799A1187" w14:textId="26DF7932"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DEL FONDO DE FOMENTO A EMPRESAS DE SOLIDARIDAD EN EL ISTMO</w:t>
            </w:r>
            <w:r w:rsidRPr="007D0CC8">
              <w:rPr>
                <w:rFonts w:ascii="Montserrat" w:eastAsia="Times New Roman" w:hAnsi="Montserrat" w:cs="Arial"/>
                <w:sz w:val="20"/>
                <w:szCs w:val="20"/>
              </w:rPr>
              <w:br/>
              <w:t>DE OAXACA (</w:t>
            </w:r>
            <w:proofErr w:type="spellStart"/>
            <w:r w:rsidRPr="007D0CC8">
              <w:rPr>
                <w:rFonts w:ascii="Montserrat" w:eastAsia="Times New Roman" w:hAnsi="Montserrat" w:cs="Arial"/>
                <w:sz w:val="20"/>
                <w:szCs w:val="20"/>
              </w:rPr>
              <w:t>FOFASIO</w:t>
            </w:r>
            <w:proofErr w:type="spellEnd"/>
            <w:r w:rsidRPr="007D0CC8">
              <w:rPr>
                <w:rFonts w:ascii="Montserrat" w:eastAsia="Times New Roman" w:hAnsi="Montserrat" w:cs="Arial"/>
                <w:sz w:val="20"/>
                <w:szCs w:val="20"/>
              </w:rPr>
              <w:t xml:space="preserve">) </w:t>
            </w:r>
          </w:p>
        </w:tc>
        <w:tc>
          <w:tcPr>
            <w:tcW w:w="1895" w:type="dxa"/>
            <w:vAlign w:val="center"/>
            <w:hideMark/>
          </w:tcPr>
          <w:p w14:paraId="269F549E" w14:textId="3ECD76BA"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ENTIDAD PARAESTATAL</w:t>
            </w:r>
          </w:p>
        </w:tc>
        <w:tc>
          <w:tcPr>
            <w:tcW w:w="1785" w:type="dxa"/>
            <w:noWrap/>
            <w:vAlign w:val="center"/>
            <w:hideMark/>
          </w:tcPr>
          <w:p w14:paraId="497DEC84" w14:textId="46188CC8"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w:t>
            </w:r>
            <w:r w:rsidR="006C7F29">
              <w:rPr>
                <w:rFonts w:ascii="Montserrat" w:eastAsia="Times New Roman" w:hAnsi="Montserrat" w:cs="Arial"/>
                <w:sz w:val="20"/>
                <w:szCs w:val="20"/>
              </w:rPr>
              <w:t>0</w:t>
            </w:r>
            <w:r w:rsidRPr="007D0CC8">
              <w:rPr>
                <w:rFonts w:ascii="Montserrat" w:eastAsia="Times New Roman" w:hAnsi="Montserrat" w:cs="Arial"/>
                <w:sz w:val="20"/>
                <w:szCs w:val="20"/>
              </w:rPr>
              <w:t xml:space="preserve">   </w:t>
            </w:r>
          </w:p>
        </w:tc>
      </w:tr>
      <w:tr w:rsidR="007D0CC8" w:rsidRPr="007D0CC8" w14:paraId="79C7B12D" w14:textId="77777777" w:rsidTr="007D0CC8">
        <w:trPr>
          <w:trHeight w:val="465"/>
        </w:trPr>
        <w:tc>
          <w:tcPr>
            <w:tcW w:w="562" w:type="dxa"/>
            <w:noWrap/>
            <w:vAlign w:val="center"/>
            <w:hideMark/>
          </w:tcPr>
          <w:p w14:paraId="0ED4D19A"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15</w:t>
            </w:r>
          </w:p>
        </w:tc>
        <w:tc>
          <w:tcPr>
            <w:tcW w:w="1286" w:type="dxa"/>
            <w:noWrap/>
            <w:vAlign w:val="center"/>
            <w:hideMark/>
          </w:tcPr>
          <w:p w14:paraId="1579A8BC" w14:textId="3B0F7B0C"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11150</w:t>
            </w:r>
          </w:p>
        </w:tc>
        <w:tc>
          <w:tcPr>
            <w:tcW w:w="3392" w:type="dxa"/>
            <w:vAlign w:val="center"/>
            <w:hideMark/>
          </w:tcPr>
          <w:p w14:paraId="774AF914" w14:textId="2E3514DF"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DE FOMENTO MINERO (FIMO)</w:t>
            </w:r>
          </w:p>
        </w:tc>
        <w:tc>
          <w:tcPr>
            <w:tcW w:w="1895" w:type="dxa"/>
            <w:vAlign w:val="center"/>
            <w:hideMark/>
          </w:tcPr>
          <w:p w14:paraId="12426ABB" w14:textId="3CD5613F"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ENTIDAD PARAESTATAL</w:t>
            </w:r>
          </w:p>
        </w:tc>
        <w:tc>
          <w:tcPr>
            <w:tcW w:w="1785" w:type="dxa"/>
            <w:noWrap/>
            <w:vAlign w:val="center"/>
            <w:hideMark/>
          </w:tcPr>
          <w:p w14:paraId="19054228" w14:textId="6C46FD88"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15,418,883.16 </w:t>
            </w:r>
          </w:p>
        </w:tc>
      </w:tr>
      <w:tr w:rsidR="007D0CC8" w:rsidRPr="007D0CC8" w14:paraId="65ECB06E" w14:textId="77777777" w:rsidTr="007D0CC8">
        <w:trPr>
          <w:trHeight w:val="915"/>
        </w:trPr>
        <w:tc>
          <w:tcPr>
            <w:tcW w:w="562" w:type="dxa"/>
            <w:noWrap/>
            <w:vAlign w:val="center"/>
            <w:hideMark/>
          </w:tcPr>
          <w:p w14:paraId="7CE4F179"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16</w:t>
            </w:r>
          </w:p>
        </w:tc>
        <w:tc>
          <w:tcPr>
            <w:tcW w:w="1286" w:type="dxa"/>
            <w:noWrap/>
            <w:vAlign w:val="center"/>
            <w:hideMark/>
          </w:tcPr>
          <w:p w14:paraId="76109EF9" w14:textId="1A8C1048"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2249</w:t>
            </w:r>
          </w:p>
        </w:tc>
        <w:tc>
          <w:tcPr>
            <w:tcW w:w="3392" w:type="dxa"/>
            <w:vAlign w:val="center"/>
            <w:hideMark/>
          </w:tcPr>
          <w:p w14:paraId="76AFA593" w14:textId="233CE0E6"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 xml:space="preserve">CORREDOR </w:t>
            </w:r>
            <w:proofErr w:type="spellStart"/>
            <w:r w:rsidRPr="007D0CC8">
              <w:rPr>
                <w:rFonts w:ascii="Montserrat" w:eastAsia="Times New Roman" w:hAnsi="Montserrat" w:cs="Arial"/>
                <w:sz w:val="20"/>
                <w:szCs w:val="20"/>
              </w:rPr>
              <w:t>BRT</w:t>
            </w:r>
            <w:proofErr w:type="spellEnd"/>
            <w:r w:rsidRPr="007D0CC8">
              <w:rPr>
                <w:rFonts w:ascii="Montserrat" w:eastAsia="Times New Roman" w:hAnsi="Montserrat" w:cs="Arial"/>
                <w:sz w:val="20"/>
                <w:szCs w:val="20"/>
              </w:rPr>
              <w:t xml:space="preserve"> 1 PONIENTE DEL SISTEMA INTEGRADO DE TRANSPORTE DE LA ZONA METROPOLITANA DE OAXACA</w:t>
            </w:r>
          </w:p>
        </w:tc>
        <w:tc>
          <w:tcPr>
            <w:tcW w:w="1895" w:type="dxa"/>
            <w:vAlign w:val="center"/>
            <w:hideMark/>
          </w:tcPr>
          <w:p w14:paraId="4B6FE0A1" w14:textId="3B2E1C01"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ADMINISTRACIÓN</w:t>
            </w:r>
          </w:p>
        </w:tc>
        <w:tc>
          <w:tcPr>
            <w:tcW w:w="1785" w:type="dxa"/>
            <w:noWrap/>
            <w:vAlign w:val="center"/>
            <w:hideMark/>
          </w:tcPr>
          <w:p w14:paraId="1E094D71" w14:textId="435A10CE"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40,774,677.76 </w:t>
            </w:r>
          </w:p>
        </w:tc>
      </w:tr>
      <w:tr w:rsidR="007D0CC8" w:rsidRPr="007D0CC8" w14:paraId="630C5385" w14:textId="77777777" w:rsidTr="007D0CC8">
        <w:trPr>
          <w:trHeight w:val="465"/>
        </w:trPr>
        <w:tc>
          <w:tcPr>
            <w:tcW w:w="562" w:type="dxa"/>
            <w:noWrap/>
            <w:vAlign w:val="center"/>
            <w:hideMark/>
          </w:tcPr>
          <w:p w14:paraId="443957A2"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17</w:t>
            </w:r>
          </w:p>
        </w:tc>
        <w:tc>
          <w:tcPr>
            <w:tcW w:w="1286" w:type="dxa"/>
            <w:noWrap/>
            <w:vAlign w:val="center"/>
            <w:hideMark/>
          </w:tcPr>
          <w:p w14:paraId="66E3BC5D" w14:textId="44444486"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11041126</w:t>
            </w:r>
          </w:p>
        </w:tc>
        <w:tc>
          <w:tcPr>
            <w:tcW w:w="3392" w:type="dxa"/>
            <w:vAlign w:val="center"/>
            <w:hideMark/>
          </w:tcPr>
          <w:p w14:paraId="49BE25CF" w14:textId="14BA1FAE"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FONDO DE DESASTRES NATURALES DEL ESTADO DE OAXACA (</w:t>
            </w:r>
            <w:proofErr w:type="spellStart"/>
            <w:r w:rsidRPr="007D0CC8">
              <w:rPr>
                <w:rFonts w:ascii="Montserrat" w:eastAsia="Times New Roman" w:hAnsi="Montserrat" w:cs="Arial"/>
                <w:sz w:val="20"/>
                <w:szCs w:val="20"/>
              </w:rPr>
              <w:t>FDNEO</w:t>
            </w:r>
            <w:proofErr w:type="spellEnd"/>
            <w:r w:rsidRPr="007D0CC8">
              <w:rPr>
                <w:rFonts w:ascii="Montserrat" w:eastAsia="Times New Roman" w:hAnsi="Montserrat" w:cs="Arial"/>
                <w:sz w:val="20"/>
                <w:szCs w:val="20"/>
              </w:rPr>
              <w:t>)</w:t>
            </w:r>
          </w:p>
        </w:tc>
        <w:tc>
          <w:tcPr>
            <w:tcW w:w="1895" w:type="dxa"/>
            <w:vAlign w:val="center"/>
            <w:hideMark/>
          </w:tcPr>
          <w:p w14:paraId="1EBD50DD" w14:textId="0DC28748"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 xml:space="preserve">ADMINISTRACIÓN, INVERSIÓN Y PAGO </w:t>
            </w:r>
          </w:p>
        </w:tc>
        <w:tc>
          <w:tcPr>
            <w:tcW w:w="1785" w:type="dxa"/>
            <w:noWrap/>
            <w:vAlign w:val="center"/>
            <w:hideMark/>
          </w:tcPr>
          <w:p w14:paraId="5FD3FFE1" w14:textId="11BF9641"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313,175,767.10 </w:t>
            </w:r>
          </w:p>
        </w:tc>
      </w:tr>
      <w:tr w:rsidR="007D0CC8" w:rsidRPr="007D0CC8" w14:paraId="1AB30AE6" w14:textId="77777777" w:rsidTr="007D0CC8">
        <w:trPr>
          <w:trHeight w:val="690"/>
        </w:trPr>
        <w:tc>
          <w:tcPr>
            <w:tcW w:w="562" w:type="dxa"/>
            <w:noWrap/>
            <w:vAlign w:val="center"/>
            <w:hideMark/>
          </w:tcPr>
          <w:p w14:paraId="6AED0E06"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18</w:t>
            </w:r>
          </w:p>
        </w:tc>
        <w:tc>
          <w:tcPr>
            <w:tcW w:w="1286" w:type="dxa"/>
            <w:noWrap/>
            <w:vAlign w:val="center"/>
            <w:hideMark/>
          </w:tcPr>
          <w:p w14:paraId="233FEDEC" w14:textId="12619472"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4100558</w:t>
            </w:r>
          </w:p>
        </w:tc>
        <w:tc>
          <w:tcPr>
            <w:tcW w:w="3392" w:type="dxa"/>
            <w:vAlign w:val="center"/>
            <w:hideMark/>
          </w:tcPr>
          <w:p w14:paraId="66974662" w14:textId="44ABE2D9"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IRREVOCABLE DE ADMINISTRACIÓN Y FUENTE DE PAGO</w:t>
            </w:r>
          </w:p>
        </w:tc>
        <w:tc>
          <w:tcPr>
            <w:tcW w:w="1895" w:type="dxa"/>
            <w:vAlign w:val="center"/>
            <w:hideMark/>
          </w:tcPr>
          <w:p w14:paraId="5473FAA9" w14:textId="0BCD47F5"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ADMINISTRACIÓN Y FUENTE DE PAGO</w:t>
            </w:r>
          </w:p>
        </w:tc>
        <w:tc>
          <w:tcPr>
            <w:tcW w:w="1785" w:type="dxa"/>
            <w:noWrap/>
            <w:vAlign w:val="center"/>
            <w:hideMark/>
          </w:tcPr>
          <w:p w14:paraId="0064162A" w14:textId="1E40EB92"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45,339,197.98 </w:t>
            </w:r>
          </w:p>
        </w:tc>
      </w:tr>
      <w:tr w:rsidR="007D0CC8" w:rsidRPr="007D0CC8" w14:paraId="2945DAA5" w14:textId="77777777" w:rsidTr="007D0CC8">
        <w:trPr>
          <w:trHeight w:val="690"/>
        </w:trPr>
        <w:tc>
          <w:tcPr>
            <w:tcW w:w="562" w:type="dxa"/>
            <w:noWrap/>
            <w:vAlign w:val="center"/>
            <w:hideMark/>
          </w:tcPr>
          <w:p w14:paraId="61B5D187"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19</w:t>
            </w:r>
          </w:p>
        </w:tc>
        <w:tc>
          <w:tcPr>
            <w:tcW w:w="1286" w:type="dxa"/>
            <w:noWrap/>
            <w:vAlign w:val="center"/>
            <w:hideMark/>
          </w:tcPr>
          <w:p w14:paraId="17340435" w14:textId="1DB80E43"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10754</w:t>
            </w:r>
          </w:p>
        </w:tc>
        <w:tc>
          <w:tcPr>
            <w:tcW w:w="3392" w:type="dxa"/>
            <w:vAlign w:val="center"/>
            <w:hideMark/>
          </w:tcPr>
          <w:p w14:paraId="419228C4" w14:textId="008E99FA"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 xml:space="preserve">FIDEICOMISO IRREVOCABLE DE ADMINISTRACIÓN Y FUENTE DE PAGO </w:t>
            </w:r>
          </w:p>
        </w:tc>
        <w:tc>
          <w:tcPr>
            <w:tcW w:w="1895" w:type="dxa"/>
            <w:vAlign w:val="center"/>
            <w:hideMark/>
          </w:tcPr>
          <w:p w14:paraId="1F32B3EF" w14:textId="4C203CE7"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ADMINISTRACIÓN Y FUENTE DE PAGO</w:t>
            </w:r>
          </w:p>
        </w:tc>
        <w:tc>
          <w:tcPr>
            <w:tcW w:w="1785" w:type="dxa"/>
            <w:noWrap/>
            <w:vAlign w:val="center"/>
            <w:hideMark/>
          </w:tcPr>
          <w:p w14:paraId="772D8B4C" w14:textId="4A237A66"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2,803,288.06 </w:t>
            </w:r>
          </w:p>
        </w:tc>
      </w:tr>
      <w:tr w:rsidR="007D0CC8" w:rsidRPr="007D0CC8" w14:paraId="418E83F1" w14:textId="77777777" w:rsidTr="007D0CC8">
        <w:trPr>
          <w:trHeight w:val="690"/>
        </w:trPr>
        <w:tc>
          <w:tcPr>
            <w:tcW w:w="562" w:type="dxa"/>
            <w:noWrap/>
            <w:vAlign w:val="center"/>
            <w:hideMark/>
          </w:tcPr>
          <w:p w14:paraId="77E1C57A"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20</w:t>
            </w:r>
          </w:p>
        </w:tc>
        <w:tc>
          <w:tcPr>
            <w:tcW w:w="1286" w:type="dxa"/>
            <w:noWrap/>
            <w:vAlign w:val="center"/>
            <w:hideMark/>
          </w:tcPr>
          <w:p w14:paraId="2B61DBD9" w14:textId="0E6046DE"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11581</w:t>
            </w:r>
          </w:p>
        </w:tc>
        <w:tc>
          <w:tcPr>
            <w:tcW w:w="3392" w:type="dxa"/>
            <w:vAlign w:val="center"/>
            <w:hideMark/>
          </w:tcPr>
          <w:p w14:paraId="643BD77E" w14:textId="64C86C12"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IRREVOCABLE DE ADMINISTRACIÓN Y FUENTE DE PAGO (MAS OAXACA)</w:t>
            </w:r>
          </w:p>
        </w:tc>
        <w:tc>
          <w:tcPr>
            <w:tcW w:w="1895" w:type="dxa"/>
            <w:vAlign w:val="center"/>
            <w:hideMark/>
          </w:tcPr>
          <w:p w14:paraId="66C6D76F" w14:textId="1F2AE858"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ADMINISTRACIÓN Y FUENTE DE PAGO</w:t>
            </w:r>
          </w:p>
        </w:tc>
        <w:tc>
          <w:tcPr>
            <w:tcW w:w="1785" w:type="dxa"/>
            <w:noWrap/>
            <w:vAlign w:val="center"/>
            <w:hideMark/>
          </w:tcPr>
          <w:p w14:paraId="7543B548" w14:textId="5AC92F02"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13,979,807.96 </w:t>
            </w:r>
          </w:p>
        </w:tc>
      </w:tr>
      <w:tr w:rsidR="007D0CC8" w:rsidRPr="007D0CC8" w14:paraId="01BF14F1" w14:textId="77777777" w:rsidTr="007D0CC8">
        <w:trPr>
          <w:trHeight w:val="915"/>
        </w:trPr>
        <w:tc>
          <w:tcPr>
            <w:tcW w:w="562" w:type="dxa"/>
            <w:noWrap/>
            <w:vAlign w:val="center"/>
            <w:hideMark/>
          </w:tcPr>
          <w:p w14:paraId="136886E6"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lastRenderedPageBreak/>
              <w:t>21</w:t>
            </w:r>
          </w:p>
        </w:tc>
        <w:tc>
          <w:tcPr>
            <w:tcW w:w="1286" w:type="dxa"/>
            <w:noWrap/>
            <w:vAlign w:val="center"/>
            <w:hideMark/>
          </w:tcPr>
          <w:p w14:paraId="2C0BF0EF" w14:textId="42646ACA"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360958235</w:t>
            </w:r>
          </w:p>
        </w:tc>
        <w:tc>
          <w:tcPr>
            <w:tcW w:w="3392" w:type="dxa"/>
            <w:vAlign w:val="center"/>
            <w:hideMark/>
          </w:tcPr>
          <w:p w14:paraId="6126D052" w14:textId="387BA480"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NIÑAS, NIÑOS, ADOLESCENTES Y ADULTOS DAMNIFICADOS DEL MUNICIPIO DE SANTIAGO JAMILTEPEC, OAXACA.</w:t>
            </w:r>
          </w:p>
        </w:tc>
        <w:tc>
          <w:tcPr>
            <w:tcW w:w="1895" w:type="dxa"/>
            <w:vAlign w:val="center"/>
            <w:hideMark/>
          </w:tcPr>
          <w:p w14:paraId="2912CF47" w14:textId="3561F847"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 xml:space="preserve">ADMINISTRACIÓN, INVERSIÓN Y PAGO </w:t>
            </w:r>
          </w:p>
        </w:tc>
        <w:tc>
          <w:tcPr>
            <w:tcW w:w="1785" w:type="dxa"/>
            <w:noWrap/>
            <w:vAlign w:val="center"/>
            <w:hideMark/>
          </w:tcPr>
          <w:p w14:paraId="51A6A970" w14:textId="328D5890"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2,561,738.97 </w:t>
            </w:r>
          </w:p>
        </w:tc>
      </w:tr>
      <w:tr w:rsidR="007D0CC8" w:rsidRPr="007D0CC8" w14:paraId="0EC4DE46" w14:textId="77777777" w:rsidTr="007D0CC8">
        <w:trPr>
          <w:trHeight w:val="690"/>
        </w:trPr>
        <w:tc>
          <w:tcPr>
            <w:tcW w:w="562" w:type="dxa"/>
            <w:noWrap/>
            <w:vAlign w:val="center"/>
            <w:hideMark/>
          </w:tcPr>
          <w:p w14:paraId="1A932091"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22</w:t>
            </w:r>
          </w:p>
        </w:tc>
        <w:tc>
          <w:tcPr>
            <w:tcW w:w="1286" w:type="dxa"/>
            <w:noWrap/>
            <w:vAlign w:val="center"/>
            <w:hideMark/>
          </w:tcPr>
          <w:p w14:paraId="19552B4E" w14:textId="4487871A"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2004587</w:t>
            </w:r>
          </w:p>
        </w:tc>
        <w:tc>
          <w:tcPr>
            <w:tcW w:w="3392" w:type="dxa"/>
            <w:vAlign w:val="center"/>
            <w:hideMark/>
          </w:tcPr>
          <w:p w14:paraId="736B0488" w14:textId="00ACBA71"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MAESTRO DE ADMINISTRACIÓN Y FUENTE DE PAGO</w:t>
            </w:r>
          </w:p>
        </w:tc>
        <w:tc>
          <w:tcPr>
            <w:tcW w:w="1895" w:type="dxa"/>
            <w:vAlign w:val="center"/>
            <w:hideMark/>
          </w:tcPr>
          <w:p w14:paraId="6B99D442" w14:textId="1BD03FC3"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ADMINISTRACIÓN Y FUENTE DE PAGO</w:t>
            </w:r>
          </w:p>
        </w:tc>
        <w:tc>
          <w:tcPr>
            <w:tcW w:w="1785" w:type="dxa"/>
            <w:noWrap/>
            <w:vAlign w:val="center"/>
            <w:hideMark/>
          </w:tcPr>
          <w:p w14:paraId="0770D5C0" w14:textId="13E68EC4"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3,190.71 </w:t>
            </w:r>
          </w:p>
        </w:tc>
      </w:tr>
      <w:tr w:rsidR="007D0CC8" w:rsidRPr="007D0CC8" w14:paraId="796AD407" w14:textId="77777777" w:rsidTr="007D0CC8">
        <w:trPr>
          <w:trHeight w:val="690"/>
        </w:trPr>
        <w:tc>
          <w:tcPr>
            <w:tcW w:w="562" w:type="dxa"/>
            <w:noWrap/>
            <w:vAlign w:val="center"/>
            <w:hideMark/>
          </w:tcPr>
          <w:p w14:paraId="318FEDC2" w14:textId="77777777"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23</w:t>
            </w:r>
          </w:p>
        </w:tc>
        <w:tc>
          <w:tcPr>
            <w:tcW w:w="1286" w:type="dxa"/>
            <w:noWrap/>
            <w:vAlign w:val="center"/>
            <w:hideMark/>
          </w:tcPr>
          <w:p w14:paraId="79A10C81" w14:textId="025B5CDA" w:rsidR="007D0CC8" w:rsidRPr="007D0CC8" w:rsidRDefault="007D0CC8" w:rsidP="007D0CC8">
            <w:pPr>
              <w:jc w:val="center"/>
              <w:rPr>
                <w:rFonts w:ascii="Montserrat" w:eastAsia="Times New Roman" w:hAnsi="Montserrat" w:cs="Arial"/>
                <w:sz w:val="20"/>
                <w:szCs w:val="20"/>
              </w:rPr>
            </w:pPr>
            <w:r w:rsidRPr="007D0CC8">
              <w:rPr>
                <w:rFonts w:ascii="Montserrat" w:eastAsia="Times New Roman" w:hAnsi="Montserrat" w:cs="Arial"/>
                <w:sz w:val="20"/>
                <w:szCs w:val="20"/>
              </w:rPr>
              <w:t>2004588</w:t>
            </w:r>
          </w:p>
        </w:tc>
        <w:tc>
          <w:tcPr>
            <w:tcW w:w="3392" w:type="dxa"/>
            <w:vAlign w:val="center"/>
            <w:hideMark/>
          </w:tcPr>
          <w:p w14:paraId="3269B9AF" w14:textId="25545025"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FIDEICOMISO MAESTRO DE ADMINISTRACIÓN Y FUENTE DE PAGO</w:t>
            </w:r>
          </w:p>
        </w:tc>
        <w:tc>
          <w:tcPr>
            <w:tcW w:w="1895" w:type="dxa"/>
            <w:vAlign w:val="center"/>
            <w:hideMark/>
          </w:tcPr>
          <w:p w14:paraId="1D053C21" w14:textId="0790B3E8" w:rsidR="007D0CC8" w:rsidRPr="007D0CC8" w:rsidRDefault="007D0CC8" w:rsidP="007D0CC8">
            <w:pPr>
              <w:rPr>
                <w:rFonts w:ascii="Montserrat" w:eastAsia="Times New Roman" w:hAnsi="Montserrat" w:cs="Arial"/>
                <w:sz w:val="20"/>
                <w:szCs w:val="20"/>
              </w:rPr>
            </w:pPr>
            <w:r w:rsidRPr="007D0CC8">
              <w:rPr>
                <w:rFonts w:ascii="Montserrat" w:eastAsia="Times New Roman" w:hAnsi="Montserrat" w:cs="Arial"/>
                <w:sz w:val="20"/>
                <w:szCs w:val="20"/>
              </w:rPr>
              <w:t>ADMINISTRACIÓN Y FUENTE DE PAGO</w:t>
            </w:r>
          </w:p>
        </w:tc>
        <w:tc>
          <w:tcPr>
            <w:tcW w:w="1785" w:type="dxa"/>
            <w:noWrap/>
            <w:vAlign w:val="center"/>
            <w:hideMark/>
          </w:tcPr>
          <w:p w14:paraId="6CE07163" w14:textId="3C71E9A4" w:rsidR="007D0CC8" w:rsidRPr="007D0CC8" w:rsidRDefault="007D0CC8" w:rsidP="007D0CC8">
            <w:pPr>
              <w:jc w:val="right"/>
              <w:rPr>
                <w:rFonts w:ascii="Montserrat" w:eastAsia="Times New Roman" w:hAnsi="Montserrat" w:cs="Arial"/>
                <w:sz w:val="20"/>
                <w:szCs w:val="20"/>
              </w:rPr>
            </w:pPr>
            <w:r w:rsidRPr="007D0CC8">
              <w:rPr>
                <w:rFonts w:ascii="Montserrat" w:eastAsia="Times New Roman" w:hAnsi="Montserrat" w:cs="Arial"/>
                <w:sz w:val="20"/>
                <w:szCs w:val="20"/>
              </w:rPr>
              <w:t xml:space="preserve">   170,094,875.27 </w:t>
            </w:r>
          </w:p>
        </w:tc>
      </w:tr>
      <w:tr w:rsidR="00FD2DE6" w:rsidRPr="00C953B4" w14:paraId="59D4A2AB" w14:textId="77777777" w:rsidTr="007D0CC8">
        <w:trPr>
          <w:trHeight w:val="605"/>
        </w:trPr>
        <w:tc>
          <w:tcPr>
            <w:tcW w:w="562" w:type="dxa"/>
            <w:noWrap/>
            <w:hideMark/>
          </w:tcPr>
          <w:p w14:paraId="1255147F" w14:textId="77777777" w:rsidR="00A018AA" w:rsidRPr="007D0CC8" w:rsidRDefault="00A018AA" w:rsidP="00A018AA">
            <w:pPr>
              <w:rPr>
                <w:rFonts w:ascii="Montserrat" w:eastAsia="Times New Roman" w:hAnsi="Montserrat" w:cs="Arial"/>
                <w:sz w:val="20"/>
                <w:szCs w:val="20"/>
              </w:rPr>
            </w:pPr>
            <w:r w:rsidRPr="007D0CC8">
              <w:rPr>
                <w:rFonts w:ascii="Montserrat" w:eastAsia="Times New Roman" w:hAnsi="Montserrat" w:cs="Arial"/>
                <w:sz w:val="20"/>
                <w:szCs w:val="20"/>
              </w:rPr>
              <w:t> </w:t>
            </w:r>
          </w:p>
        </w:tc>
        <w:tc>
          <w:tcPr>
            <w:tcW w:w="1286" w:type="dxa"/>
            <w:vAlign w:val="center"/>
            <w:hideMark/>
          </w:tcPr>
          <w:p w14:paraId="64FFFAAA" w14:textId="77777777" w:rsidR="00A018AA" w:rsidRPr="007D0CC8" w:rsidRDefault="00A018AA" w:rsidP="007D0CC8">
            <w:pPr>
              <w:jc w:val="center"/>
              <w:rPr>
                <w:rFonts w:ascii="Montserrat" w:eastAsia="Times New Roman" w:hAnsi="Montserrat" w:cs="Arial"/>
                <w:b/>
                <w:bCs/>
                <w:sz w:val="20"/>
                <w:szCs w:val="20"/>
              </w:rPr>
            </w:pPr>
            <w:r w:rsidRPr="007D0CC8">
              <w:rPr>
                <w:rFonts w:ascii="Montserrat" w:eastAsia="Times New Roman" w:hAnsi="Montserrat" w:cs="Arial"/>
                <w:b/>
                <w:bCs/>
                <w:sz w:val="20"/>
                <w:szCs w:val="20"/>
              </w:rPr>
              <w:t>TOTAL</w:t>
            </w:r>
          </w:p>
        </w:tc>
        <w:tc>
          <w:tcPr>
            <w:tcW w:w="3392" w:type="dxa"/>
            <w:hideMark/>
          </w:tcPr>
          <w:p w14:paraId="4B40443E" w14:textId="77777777" w:rsidR="00A018AA" w:rsidRPr="007D0CC8" w:rsidRDefault="00A018AA">
            <w:pPr>
              <w:rPr>
                <w:rFonts w:ascii="Montserrat" w:eastAsia="Times New Roman" w:hAnsi="Montserrat" w:cs="Arial"/>
                <w:b/>
                <w:bCs/>
                <w:sz w:val="20"/>
                <w:szCs w:val="20"/>
              </w:rPr>
            </w:pPr>
            <w:r w:rsidRPr="007D0CC8">
              <w:rPr>
                <w:rFonts w:ascii="Montserrat" w:eastAsia="Times New Roman" w:hAnsi="Montserrat" w:cs="Arial"/>
                <w:b/>
                <w:bCs/>
                <w:sz w:val="20"/>
                <w:szCs w:val="20"/>
              </w:rPr>
              <w:t> </w:t>
            </w:r>
          </w:p>
        </w:tc>
        <w:tc>
          <w:tcPr>
            <w:tcW w:w="1895" w:type="dxa"/>
            <w:hideMark/>
          </w:tcPr>
          <w:p w14:paraId="7B86DB5B" w14:textId="77777777" w:rsidR="00A018AA" w:rsidRPr="007D0CC8" w:rsidRDefault="00A018AA">
            <w:pPr>
              <w:rPr>
                <w:rFonts w:ascii="Montserrat" w:eastAsia="Times New Roman" w:hAnsi="Montserrat" w:cs="Arial"/>
                <w:b/>
                <w:bCs/>
                <w:sz w:val="20"/>
                <w:szCs w:val="20"/>
              </w:rPr>
            </w:pPr>
            <w:r w:rsidRPr="007D0CC8">
              <w:rPr>
                <w:rFonts w:ascii="Montserrat" w:eastAsia="Times New Roman" w:hAnsi="Montserrat" w:cs="Arial"/>
                <w:b/>
                <w:bCs/>
                <w:sz w:val="20"/>
                <w:szCs w:val="20"/>
              </w:rPr>
              <w:t> </w:t>
            </w:r>
          </w:p>
        </w:tc>
        <w:tc>
          <w:tcPr>
            <w:tcW w:w="1785" w:type="dxa"/>
            <w:noWrap/>
            <w:vAlign w:val="center"/>
            <w:hideMark/>
          </w:tcPr>
          <w:p w14:paraId="7F9A3448" w14:textId="26DA3407" w:rsidR="00A018AA" w:rsidRPr="00A15D46" w:rsidRDefault="007D0CC8" w:rsidP="007D0CC8">
            <w:pPr>
              <w:jc w:val="right"/>
              <w:rPr>
                <w:rFonts w:ascii="Montserrat" w:hAnsi="Montserrat" w:cs="Calibri"/>
                <w:b/>
                <w:bCs/>
                <w:color w:val="000000"/>
                <w:sz w:val="20"/>
                <w:szCs w:val="20"/>
              </w:rPr>
            </w:pPr>
            <w:r w:rsidRPr="007D0CC8">
              <w:rPr>
                <w:rFonts w:ascii="Montserrat" w:hAnsi="Montserrat" w:cs="Calibri"/>
                <w:b/>
                <w:bCs/>
                <w:color w:val="000000"/>
                <w:sz w:val="20"/>
                <w:szCs w:val="20"/>
              </w:rPr>
              <w:t>947,866,629.26</w:t>
            </w:r>
          </w:p>
        </w:tc>
      </w:tr>
    </w:tbl>
    <w:p w14:paraId="7DCBE51D" w14:textId="77777777" w:rsidR="00B0059B" w:rsidRPr="00FD2DE6" w:rsidRDefault="00B0059B" w:rsidP="00B0059B">
      <w:pPr>
        <w:rPr>
          <w:rFonts w:ascii="Montserrat" w:eastAsia="Times New Roman" w:hAnsi="Montserrat" w:cs="Arial"/>
        </w:rPr>
      </w:pPr>
    </w:p>
    <w:p w14:paraId="48110E88" w14:textId="7EB266FC" w:rsidR="004B3002" w:rsidRDefault="004B3002">
      <w:pPr>
        <w:rPr>
          <w:rFonts w:ascii="Montserrat" w:eastAsia="Times New Roman" w:hAnsi="Montserrat" w:cs="Arial"/>
        </w:rPr>
      </w:pPr>
    </w:p>
    <w:p w14:paraId="1E60DA8A" w14:textId="77777777" w:rsidR="00831CEA" w:rsidRDefault="00831CEA">
      <w:pPr>
        <w:rPr>
          <w:rFonts w:ascii="Montserrat" w:eastAsia="Times New Roman" w:hAnsi="Montserrat" w:cs="Arial"/>
        </w:rPr>
      </w:pPr>
    </w:p>
    <w:p w14:paraId="12218DDD" w14:textId="77777777" w:rsidR="00B0059B" w:rsidRPr="006C7F29" w:rsidRDefault="00B0059B" w:rsidP="00031666">
      <w:pPr>
        <w:pStyle w:val="Prrafodelista"/>
        <w:widowControl w:val="0"/>
        <w:numPr>
          <w:ilvl w:val="0"/>
          <w:numId w:val="37"/>
        </w:numPr>
        <w:ind w:left="426" w:hanging="426"/>
        <w:jc w:val="both"/>
        <w:rPr>
          <w:rFonts w:ascii="Montserrat" w:hAnsi="Montserrat"/>
          <w:b/>
          <w:sz w:val="24"/>
          <w:szCs w:val="24"/>
        </w:rPr>
      </w:pPr>
      <w:r w:rsidRPr="006C7F29">
        <w:rPr>
          <w:rFonts w:ascii="Montserrat" w:hAnsi="Montserrat"/>
          <w:b/>
          <w:sz w:val="24"/>
          <w:szCs w:val="24"/>
        </w:rPr>
        <w:t>Reporte de recaudación</w:t>
      </w:r>
    </w:p>
    <w:p w14:paraId="4628ED00" w14:textId="42DCF50C" w:rsidR="00D70A3F" w:rsidRPr="006C7F29" w:rsidRDefault="00D70A3F" w:rsidP="006C7F29">
      <w:pPr>
        <w:ind w:left="360"/>
        <w:jc w:val="both"/>
        <w:rPr>
          <w:rFonts w:ascii="Montserrat" w:hAnsi="Montserrat" w:cs="Arial"/>
        </w:rPr>
      </w:pPr>
      <w:r w:rsidRPr="006C7F29">
        <w:rPr>
          <w:rFonts w:ascii="Montserrat" w:hAnsi="Montserrat" w:cs="Arial"/>
        </w:rPr>
        <w:t xml:space="preserve">Acciones de Fiscalización, Resultados del Periodo Enero – </w:t>
      </w:r>
      <w:r w:rsidR="0038477A" w:rsidRPr="006C7F29">
        <w:rPr>
          <w:rFonts w:ascii="Montserrat" w:hAnsi="Montserrat" w:cs="Arial"/>
        </w:rPr>
        <w:t xml:space="preserve">Diciembre </w:t>
      </w:r>
      <w:r w:rsidRPr="006C7F29">
        <w:rPr>
          <w:rFonts w:ascii="Montserrat" w:hAnsi="Montserrat" w:cs="Arial"/>
        </w:rPr>
        <w:t>de 2024.</w:t>
      </w:r>
    </w:p>
    <w:p w14:paraId="6987B069" w14:textId="77777777" w:rsidR="007B5ADF" w:rsidRPr="006C7F29" w:rsidRDefault="007B5ADF" w:rsidP="00D70A3F">
      <w:pPr>
        <w:jc w:val="both"/>
        <w:rPr>
          <w:rFonts w:ascii="Montserrat" w:hAnsi="Montserrat" w:cs="Arial"/>
          <w:b/>
          <w:kern w:val="2"/>
          <w:lang w:eastAsia="en-US"/>
        </w:rPr>
      </w:pPr>
    </w:p>
    <w:p w14:paraId="740420A7" w14:textId="77777777" w:rsidR="00831CEA" w:rsidRDefault="00831CEA" w:rsidP="003237FF">
      <w:pPr>
        <w:jc w:val="both"/>
        <w:rPr>
          <w:rFonts w:ascii="Montserrat" w:hAnsi="Montserrat" w:cs="Arial"/>
          <w:b/>
          <w:kern w:val="2"/>
          <w:lang w:eastAsia="en-US"/>
        </w:rPr>
      </w:pPr>
    </w:p>
    <w:p w14:paraId="248530B0" w14:textId="5458F6E2" w:rsidR="003237FF" w:rsidRPr="006C7F29" w:rsidRDefault="003237FF" w:rsidP="003237FF">
      <w:pPr>
        <w:jc w:val="both"/>
        <w:rPr>
          <w:rFonts w:ascii="Montserrat" w:hAnsi="Montserrat" w:cs="Arial"/>
          <w:b/>
          <w:kern w:val="2"/>
          <w:lang w:eastAsia="en-US"/>
        </w:rPr>
      </w:pPr>
      <w:r w:rsidRPr="006C7F29">
        <w:rPr>
          <w:rFonts w:ascii="Montserrat" w:hAnsi="Montserrat" w:cs="Arial"/>
          <w:b/>
          <w:kern w:val="2"/>
          <w:lang w:eastAsia="en-US"/>
        </w:rPr>
        <w:t>IMPUESTOS FEDERALES</w:t>
      </w:r>
    </w:p>
    <w:p w14:paraId="3B8C9A9C" w14:textId="5F213156" w:rsidR="003237FF" w:rsidRPr="006C7F29" w:rsidRDefault="006C7F29" w:rsidP="006C7F29">
      <w:pPr>
        <w:tabs>
          <w:tab w:val="left" w:pos="1838"/>
        </w:tabs>
        <w:jc w:val="both"/>
        <w:rPr>
          <w:rFonts w:ascii="Montserrat" w:hAnsi="Montserrat" w:cs="Arial"/>
          <w:b/>
          <w:kern w:val="2"/>
          <w:lang w:eastAsia="en-US"/>
        </w:rPr>
      </w:pPr>
      <w:r>
        <w:rPr>
          <w:rFonts w:ascii="Montserrat" w:hAnsi="Montserrat" w:cs="Arial"/>
          <w:b/>
          <w:kern w:val="2"/>
          <w:lang w:eastAsia="en-US"/>
        </w:rPr>
        <w:tab/>
      </w:r>
    </w:p>
    <w:p w14:paraId="695BD2E7" w14:textId="02B6D817" w:rsidR="003237FF" w:rsidRPr="006C7F29" w:rsidRDefault="003237FF" w:rsidP="003237FF">
      <w:pPr>
        <w:jc w:val="both"/>
        <w:rPr>
          <w:rFonts w:ascii="Montserrat" w:hAnsi="Montserrat" w:cs="Arial"/>
          <w:b/>
          <w:kern w:val="2"/>
          <w:lang w:eastAsia="en-US"/>
        </w:rPr>
      </w:pPr>
      <w:r w:rsidRPr="006C7F29">
        <w:rPr>
          <w:rFonts w:ascii="Montserrat" w:hAnsi="Montserrat" w:cs="Arial"/>
          <w:b/>
          <w:kern w:val="2"/>
          <w:lang w:eastAsia="en-US"/>
        </w:rPr>
        <w:t>ACTOS DE FISCALIZACIÓN</w:t>
      </w:r>
    </w:p>
    <w:p w14:paraId="24A9A702" w14:textId="77777777" w:rsidR="003237FF" w:rsidRPr="006C7F29" w:rsidRDefault="003237FF" w:rsidP="003237FF">
      <w:pPr>
        <w:jc w:val="both"/>
        <w:rPr>
          <w:rFonts w:ascii="Montserrat" w:hAnsi="Montserrat" w:cs="Arial"/>
          <w:b/>
          <w:kern w:val="2"/>
          <w:lang w:eastAsia="en-US"/>
        </w:rPr>
      </w:pPr>
    </w:p>
    <w:p w14:paraId="25E223F6" w14:textId="29AEA8AA" w:rsidR="00831CEA" w:rsidRDefault="006C7F29" w:rsidP="006C7F29">
      <w:pPr>
        <w:ind w:left="360"/>
        <w:jc w:val="both"/>
        <w:rPr>
          <w:rFonts w:ascii="Montserrat" w:hAnsi="Montserrat" w:cs="Arial"/>
        </w:rPr>
      </w:pPr>
      <w:r w:rsidRPr="006C7F29">
        <w:rPr>
          <w:rFonts w:ascii="Montserrat" w:hAnsi="Montserrat" w:cs="Arial"/>
        </w:rPr>
        <w:t xml:space="preserve">Dentro de las atribuciones a cargo de la Secretaría de Finanzas, relacionadas con la verificación del cumplimiento de las obligaciones fiscales de los contribuyentes, la Dirección de Auditoría e Inspección Fiscal durante el ejercicio fiscal 2024, concluyó 523 actos de fiscalización en materia de impuestos federales, cabe señalar que de acuerdo a la concertación del Programa Operativo Anual 2024 se tenía una meta anual de 345 actos, lográndose al cuarto trimestre un avance del 151.59% respecto a dicha meta. </w:t>
      </w:r>
    </w:p>
    <w:p w14:paraId="2C895A1A" w14:textId="77777777" w:rsidR="00831CEA" w:rsidRDefault="00831CEA">
      <w:pPr>
        <w:rPr>
          <w:rFonts w:ascii="Montserrat" w:hAnsi="Montserrat" w:cs="Arial"/>
        </w:rPr>
      </w:pPr>
      <w:r>
        <w:rPr>
          <w:rFonts w:ascii="Montserrat" w:hAnsi="Montserrat" w:cs="Arial"/>
        </w:rPr>
        <w:br w:type="page"/>
      </w:r>
    </w:p>
    <w:p w14:paraId="1A6EDA05" w14:textId="77777777" w:rsidR="006C7F29" w:rsidRDefault="006C7F29" w:rsidP="006C7F29">
      <w:pPr>
        <w:ind w:left="360"/>
        <w:jc w:val="both"/>
        <w:rPr>
          <w:rFonts w:ascii="Montserrat" w:hAnsi="Montserrat" w:cs="Arial"/>
        </w:rPr>
      </w:pPr>
    </w:p>
    <w:p w14:paraId="6F8A67AF" w14:textId="77777777" w:rsidR="006C7F29" w:rsidRPr="006C7F29" w:rsidRDefault="006C7F29" w:rsidP="006C7F29">
      <w:pPr>
        <w:pStyle w:val="Prrafodelista"/>
        <w:widowControl w:val="0"/>
        <w:ind w:left="426"/>
        <w:rPr>
          <w:rFonts w:ascii="Montserrat" w:hAnsi="Montserrat" w:cs="Arial"/>
          <w:kern w:val="2"/>
        </w:rPr>
      </w:pPr>
    </w:p>
    <w:p w14:paraId="2BB8A42E" w14:textId="1A2799FC" w:rsidR="006C7F29" w:rsidRPr="006C7F29" w:rsidRDefault="006C7F29" w:rsidP="006C7F29">
      <w:pPr>
        <w:pStyle w:val="Prrafodelista"/>
        <w:widowControl w:val="0"/>
        <w:ind w:left="426"/>
        <w:rPr>
          <w:rFonts w:ascii="Montserrat" w:hAnsi="Montserrat" w:cs="Arial"/>
          <w:kern w:val="2"/>
        </w:rPr>
      </w:pPr>
      <w:r w:rsidRPr="006C7F29">
        <w:rPr>
          <w:rFonts w:ascii="Montserrat" w:hAnsi="Montserrat" w:cs="Arial"/>
          <w:noProof/>
          <w:kern w:val="2"/>
        </w:rPr>
        <mc:AlternateContent>
          <mc:Choice Requires="wpg">
            <w:drawing>
              <wp:anchor distT="0" distB="0" distL="114300" distR="114300" simplePos="0" relativeHeight="251660288" behindDoc="0" locked="0" layoutInCell="1" allowOverlap="1" wp14:anchorId="024E4F8E" wp14:editId="7C33E5ED">
                <wp:simplePos x="0" y="0"/>
                <wp:positionH relativeFrom="margin">
                  <wp:posOffset>249062</wp:posOffset>
                </wp:positionH>
                <wp:positionV relativeFrom="paragraph">
                  <wp:posOffset>68419</wp:posOffset>
                </wp:positionV>
                <wp:extent cx="5423943" cy="2040340"/>
                <wp:effectExtent l="0" t="0" r="5715" b="17145"/>
                <wp:wrapNone/>
                <wp:docPr id="509333845" name="Grupo 8"/>
                <wp:cNvGraphicFramePr/>
                <a:graphic xmlns:a="http://schemas.openxmlformats.org/drawingml/2006/main">
                  <a:graphicData uri="http://schemas.microsoft.com/office/word/2010/wordprocessingGroup">
                    <wpg:wgp>
                      <wpg:cNvGrpSpPr/>
                      <wpg:grpSpPr>
                        <a:xfrm>
                          <a:off x="0" y="0"/>
                          <a:ext cx="5423943" cy="2040340"/>
                          <a:chOff x="0" y="0"/>
                          <a:chExt cx="4824119" cy="2490788"/>
                        </a:xfrm>
                      </wpg:grpSpPr>
                      <wpg:graphicFrame>
                        <wpg:cNvPr id="1247043495" name="6 Gráfico"/>
                        <wpg:cNvFrPr/>
                        <wpg:xfrm>
                          <a:off x="0" y="0"/>
                          <a:ext cx="4824119" cy="2490788"/>
                        </wpg:xfrm>
                        <a:graphic>
                          <a:graphicData uri="http://schemas.openxmlformats.org/drawingml/2006/chart">
                            <c:chart xmlns:c="http://schemas.openxmlformats.org/drawingml/2006/chart" xmlns:r="http://schemas.openxmlformats.org/officeDocument/2006/relationships" r:id="rId16"/>
                          </a:graphicData>
                        </a:graphic>
                      </wpg:graphicFrame>
                      <wps:wsp>
                        <wps:cNvPr id="1953399688" name="8 CuadroTexto"/>
                        <wps:cNvSpPr txBox="1"/>
                        <wps:spPr>
                          <a:xfrm>
                            <a:off x="1845860" y="2478"/>
                            <a:ext cx="2105336" cy="293703"/>
                          </a:xfrm>
                          <a:prstGeom prst="rect">
                            <a:avLst/>
                          </a:prstGeom>
                          <a:noFill/>
                          <a:ln>
                            <a:noFill/>
                          </a:ln>
                          <a:effectLst/>
                        </wps:spPr>
                        <wps:txbx>
                          <w:txbxContent>
                            <w:p w14:paraId="4A6244CE" w14:textId="77777777" w:rsidR="006C7F29" w:rsidRDefault="006C7F29" w:rsidP="006C7F29">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ACTOS DE FISCALIZACI</w:t>
                              </w:r>
                              <w:r>
                                <w:rPr>
                                  <w:rFonts w:asciiTheme="minorHAnsi" w:hAnsi="Calibri" w:cstheme="minorBidi"/>
                                  <w:b/>
                                  <w:bCs/>
                                  <w:color w:val="000000" w:themeColor="text1"/>
                                  <w:sz w:val="22"/>
                                  <w:szCs w:val="22"/>
                                </w:rPr>
                                <w:t>Ó</w:t>
                              </w:r>
                              <w:r>
                                <w:rPr>
                                  <w:rFonts w:asciiTheme="minorHAnsi" w:hAnsi="Calibri" w:cstheme="minorBidi"/>
                                  <w:b/>
                                  <w:bCs/>
                                  <w:color w:val="000000" w:themeColor="text1"/>
                                  <w:sz w:val="22"/>
                                  <w:szCs w:val="22"/>
                                </w:rPr>
                                <w:t>N</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024E4F8E" id="Grupo 8" o:spid="_x0000_s1026" style="position:absolute;left:0;text-align:left;margin-left:19.6pt;margin-top:5.4pt;width:427.1pt;height:160.65pt;z-index:251660288;mso-position-horizontal-relative:margin;mso-width-relative:margin;mso-height-relative:margin" coordsize="48241,24907"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Gráfico" o:spid="_x0000_s1027" type="#_x0000_t75" style="position:absolute;left:-54;top:-74;width:48362;height:250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">
                  <v:imagedata r:id="rId17" o:title=""/>
                  <o:lock v:ext="edit" aspectratio="f"/>
                </v:shape>
                <v:shapetype id="_x0000_t202" coordsize="21600,21600" o:spt="202" path="m,l,21600r21600,l21600,xe">
                  <v:stroke joinstyle="miter"/>
                  <v:path gradientshapeok="t" o:connecttype="rect"/>
                </v:shapetype>
                <v:shape id="8 CuadroTexto" o:spid="_x0000_s1028" type="#_x0000_t202" style="position:absolute;left:18458;top:24;width:21053;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" filled="f" stroked="f">
                  <v:textbox>
                    <w:txbxContent>
                      <w:p w14:paraId="4A6244CE" w14:textId="77777777" w:rsidR="006C7F29" w:rsidRDefault="006C7F29" w:rsidP="006C7F29">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ACTOS DE FISCALIZACI</w:t>
                        </w:r>
                        <w:r>
                          <w:rPr>
                            <w:rFonts w:asciiTheme="minorHAnsi" w:hAnsi="Calibri" w:cstheme="minorBidi"/>
                            <w:b/>
                            <w:bCs/>
                            <w:color w:val="000000" w:themeColor="text1"/>
                            <w:sz w:val="22"/>
                            <w:szCs w:val="22"/>
                          </w:rPr>
                          <w:t>Ó</w:t>
                        </w:r>
                        <w:r>
                          <w:rPr>
                            <w:rFonts w:asciiTheme="minorHAnsi" w:hAnsi="Calibri" w:cstheme="minorBidi"/>
                            <w:b/>
                            <w:bCs/>
                            <w:color w:val="000000" w:themeColor="text1"/>
                            <w:sz w:val="22"/>
                            <w:szCs w:val="22"/>
                          </w:rPr>
                          <w:t>N</w:t>
                        </w:r>
                      </w:p>
                    </w:txbxContent>
                  </v:textbox>
                </v:shape>
                <w10:wrap anchorx="margin"/>
              </v:group>
            </w:pict>
          </mc:Fallback>
        </mc:AlternateContent>
      </w:r>
    </w:p>
    <w:p w14:paraId="657F3913" w14:textId="77777777" w:rsidR="006C7F29" w:rsidRPr="006C7F29" w:rsidRDefault="006C7F29" w:rsidP="006C7F29">
      <w:pPr>
        <w:pStyle w:val="Prrafodelista"/>
        <w:widowControl w:val="0"/>
        <w:ind w:left="426"/>
        <w:rPr>
          <w:rFonts w:ascii="Montserrat" w:hAnsi="Montserrat" w:cs="Arial"/>
          <w:kern w:val="2"/>
        </w:rPr>
      </w:pPr>
    </w:p>
    <w:p w14:paraId="5CBD68DD" w14:textId="77777777" w:rsidR="006C7F29" w:rsidRPr="006C7F29" w:rsidRDefault="006C7F29" w:rsidP="006C7F29">
      <w:pPr>
        <w:pStyle w:val="Prrafodelista"/>
        <w:widowControl w:val="0"/>
        <w:ind w:left="426"/>
        <w:rPr>
          <w:rFonts w:ascii="Montserrat" w:hAnsi="Montserrat" w:cs="Arial"/>
          <w:kern w:val="2"/>
        </w:rPr>
      </w:pPr>
    </w:p>
    <w:p w14:paraId="696CD3C1" w14:textId="77777777" w:rsidR="006C7F29" w:rsidRPr="006C7F29" w:rsidRDefault="006C7F29" w:rsidP="006C7F29">
      <w:pPr>
        <w:pStyle w:val="Prrafodelista"/>
        <w:widowControl w:val="0"/>
        <w:ind w:left="426"/>
        <w:rPr>
          <w:rFonts w:ascii="Montserrat" w:hAnsi="Montserrat" w:cs="Arial"/>
          <w:kern w:val="2"/>
        </w:rPr>
      </w:pPr>
    </w:p>
    <w:p w14:paraId="0F047B6B" w14:textId="77777777" w:rsidR="006C7F29" w:rsidRPr="006C7F29" w:rsidRDefault="006C7F29" w:rsidP="006C7F29">
      <w:pPr>
        <w:pStyle w:val="Prrafodelista"/>
        <w:widowControl w:val="0"/>
        <w:ind w:left="426"/>
        <w:rPr>
          <w:rFonts w:ascii="Montserrat" w:hAnsi="Montserrat" w:cs="Arial"/>
          <w:kern w:val="2"/>
        </w:rPr>
      </w:pPr>
    </w:p>
    <w:p w14:paraId="39FF655A" w14:textId="77777777" w:rsidR="006C7F29" w:rsidRPr="006C7F29" w:rsidRDefault="006C7F29" w:rsidP="006C7F29">
      <w:pPr>
        <w:pStyle w:val="Prrafodelista"/>
        <w:widowControl w:val="0"/>
        <w:ind w:left="426"/>
        <w:rPr>
          <w:rFonts w:ascii="Montserrat" w:hAnsi="Montserrat" w:cs="Arial"/>
          <w:kern w:val="2"/>
        </w:rPr>
      </w:pPr>
    </w:p>
    <w:p w14:paraId="15E0115A" w14:textId="77777777" w:rsidR="006C7F29" w:rsidRPr="006C7F29" w:rsidRDefault="006C7F29" w:rsidP="006C7F29">
      <w:pPr>
        <w:pStyle w:val="Prrafodelista"/>
        <w:widowControl w:val="0"/>
        <w:ind w:left="426"/>
        <w:rPr>
          <w:rFonts w:ascii="Montserrat" w:hAnsi="Montserrat" w:cs="Arial"/>
          <w:kern w:val="2"/>
        </w:rPr>
      </w:pPr>
    </w:p>
    <w:p w14:paraId="50067380" w14:textId="77777777" w:rsidR="006C7F29" w:rsidRPr="006C7F29" w:rsidRDefault="006C7F29" w:rsidP="006C7F29">
      <w:pPr>
        <w:pStyle w:val="Prrafodelista"/>
        <w:widowControl w:val="0"/>
        <w:ind w:left="426"/>
        <w:rPr>
          <w:rFonts w:ascii="Montserrat" w:hAnsi="Montserrat" w:cs="Arial"/>
          <w:kern w:val="2"/>
        </w:rPr>
      </w:pPr>
    </w:p>
    <w:p w14:paraId="2289CC1F" w14:textId="77777777" w:rsidR="006C7F29" w:rsidRPr="006C7F29" w:rsidRDefault="006C7F29" w:rsidP="006C7F29">
      <w:pPr>
        <w:pStyle w:val="Prrafodelista"/>
        <w:widowControl w:val="0"/>
        <w:ind w:left="426"/>
        <w:rPr>
          <w:rFonts w:ascii="Montserrat" w:hAnsi="Montserrat" w:cs="Arial"/>
          <w:kern w:val="2"/>
        </w:rPr>
      </w:pPr>
    </w:p>
    <w:p w14:paraId="1B6873D7" w14:textId="77777777" w:rsidR="006C7F29" w:rsidRPr="006C7F29" w:rsidRDefault="006C7F29" w:rsidP="006C7F29">
      <w:pPr>
        <w:pStyle w:val="Prrafodelista"/>
        <w:widowControl w:val="0"/>
        <w:ind w:left="426"/>
        <w:rPr>
          <w:rFonts w:ascii="Montserrat" w:hAnsi="Montserrat" w:cs="Arial"/>
          <w:kern w:val="2"/>
        </w:rPr>
      </w:pPr>
    </w:p>
    <w:p w14:paraId="1130C9E3" w14:textId="77777777" w:rsidR="006C7F29" w:rsidRPr="006C7F29" w:rsidRDefault="006C7F29" w:rsidP="006C7F29">
      <w:pPr>
        <w:pStyle w:val="Prrafodelista"/>
        <w:widowControl w:val="0"/>
        <w:ind w:left="426"/>
        <w:rPr>
          <w:rFonts w:ascii="Montserrat" w:hAnsi="Montserrat" w:cs="Arial"/>
          <w:kern w:val="2"/>
        </w:rPr>
      </w:pPr>
    </w:p>
    <w:p w14:paraId="66298F92" w14:textId="1D25D44D" w:rsidR="006C7F29" w:rsidRPr="006C7F29" w:rsidRDefault="006C7F29" w:rsidP="006C7F29">
      <w:pPr>
        <w:pStyle w:val="Prrafodelista"/>
        <w:widowControl w:val="0"/>
        <w:ind w:left="426"/>
        <w:rPr>
          <w:rFonts w:ascii="Montserrat" w:hAnsi="Montserrat" w:cs="Arial"/>
          <w:b/>
          <w:kern w:val="2"/>
        </w:rPr>
      </w:pPr>
      <w:r w:rsidRPr="006C7F29">
        <w:rPr>
          <w:rFonts w:ascii="Montserrat" w:hAnsi="Montserrat" w:cs="Arial"/>
          <w:b/>
          <w:kern w:val="2"/>
        </w:rPr>
        <w:tab/>
      </w:r>
    </w:p>
    <w:p w14:paraId="048A26F9" w14:textId="77777777" w:rsidR="00831CEA" w:rsidRDefault="00831CEA" w:rsidP="006C7F29">
      <w:pPr>
        <w:pStyle w:val="Prrafodelista"/>
        <w:widowControl w:val="0"/>
        <w:ind w:left="426"/>
        <w:rPr>
          <w:rFonts w:ascii="Montserrat" w:hAnsi="Montserrat" w:cs="Arial"/>
          <w:b/>
          <w:kern w:val="2"/>
        </w:rPr>
      </w:pPr>
    </w:p>
    <w:p w14:paraId="744BF8D4" w14:textId="6ACAE398" w:rsidR="006C7F29" w:rsidRPr="006C7F29" w:rsidRDefault="006C7F29" w:rsidP="006C7F29">
      <w:pPr>
        <w:pStyle w:val="Prrafodelista"/>
        <w:widowControl w:val="0"/>
        <w:ind w:left="426"/>
        <w:rPr>
          <w:rFonts w:ascii="Montserrat" w:hAnsi="Montserrat" w:cs="Arial"/>
          <w:b/>
          <w:kern w:val="2"/>
        </w:rPr>
      </w:pPr>
      <w:r w:rsidRPr="006C7F29">
        <w:rPr>
          <w:rFonts w:ascii="Montserrat" w:hAnsi="Montserrat" w:cs="Arial"/>
          <w:b/>
          <w:kern w:val="2"/>
        </w:rPr>
        <w:t>ACTOS DE EJEMPLARIDAD</w:t>
      </w:r>
    </w:p>
    <w:p w14:paraId="0E00F756" w14:textId="77777777" w:rsidR="006C7F29" w:rsidRPr="006C7F29" w:rsidRDefault="006C7F29" w:rsidP="006C7F29">
      <w:pPr>
        <w:ind w:left="360"/>
        <w:jc w:val="both"/>
        <w:rPr>
          <w:rFonts w:ascii="Montserrat" w:hAnsi="Montserrat" w:cs="Arial"/>
        </w:rPr>
      </w:pPr>
      <w:r w:rsidRPr="006C7F29">
        <w:rPr>
          <w:rFonts w:ascii="Montserrat" w:hAnsi="Montserrat" w:cs="Arial"/>
        </w:rPr>
        <w:t>Con la finalidad de incrementar la percepción de riesgo en los contribuyentes incumplidos, se llevaron a cabo acciones de ejemplaridad para combatir las prácticas  indebidas,  buscando con ello el fortalecimiento de las finanzas públicas, propiciando una leal competencia y evitando de esta manera la propagación de delitos fiscales; en este sentido, la meta concertada en el Programa Operativo Anual 2024 fue de 12 acciones, lográndose al cuarto trimestre un resultado del 100 % en relación a dicha meta.</w:t>
      </w:r>
    </w:p>
    <w:p w14:paraId="561D4727" w14:textId="77777777" w:rsidR="006C7F29" w:rsidRPr="006C7F29" w:rsidRDefault="006C7F29" w:rsidP="006C7F29">
      <w:pPr>
        <w:ind w:left="360"/>
        <w:jc w:val="both"/>
        <w:rPr>
          <w:rFonts w:ascii="Montserrat" w:hAnsi="Montserrat" w:cs="Arial"/>
        </w:rPr>
      </w:pPr>
      <w:r w:rsidRPr="006C7F29">
        <w:rPr>
          <w:rFonts w:ascii="Montserrat" w:hAnsi="Montserrat" w:cs="Arial"/>
        </w:rPr>
        <w:tab/>
      </w:r>
    </w:p>
    <w:p w14:paraId="1637679B" w14:textId="3BE27F6F" w:rsidR="006C7F29" w:rsidRPr="006C7F29" w:rsidRDefault="006C7F29" w:rsidP="006C7F29">
      <w:pPr>
        <w:pStyle w:val="Prrafodelista"/>
        <w:widowControl w:val="0"/>
        <w:ind w:left="426"/>
        <w:rPr>
          <w:rFonts w:ascii="Montserrat" w:hAnsi="Montserrat" w:cs="Arial"/>
          <w:kern w:val="2"/>
        </w:rPr>
      </w:pPr>
      <w:r w:rsidRPr="006C7F29">
        <w:rPr>
          <w:rFonts w:ascii="Montserrat" w:hAnsi="Montserrat" w:cs="Arial"/>
          <w:noProof/>
          <w:kern w:val="2"/>
        </w:rPr>
        <mc:AlternateContent>
          <mc:Choice Requires="wpg">
            <w:drawing>
              <wp:anchor distT="0" distB="0" distL="114300" distR="114300" simplePos="0" relativeHeight="251659264" behindDoc="0" locked="0" layoutInCell="1" allowOverlap="1" wp14:anchorId="114EB8C8" wp14:editId="32F91293">
                <wp:simplePos x="0" y="0"/>
                <wp:positionH relativeFrom="margin">
                  <wp:posOffset>276358</wp:posOffset>
                </wp:positionH>
                <wp:positionV relativeFrom="paragraph">
                  <wp:posOffset>173905</wp:posOffset>
                </wp:positionV>
                <wp:extent cx="5383786" cy="2197100"/>
                <wp:effectExtent l="0" t="0" r="7620" b="12700"/>
                <wp:wrapNone/>
                <wp:docPr id="1705124800" name="Grupo 7"/>
                <wp:cNvGraphicFramePr/>
                <a:graphic xmlns:a="http://schemas.openxmlformats.org/drawingml/2006/main">
                  <a:graphicData uri="http://schemas.microsoft.com/office/word/2010/wordprocessingGroup">
                    <wpg:wgp>
                      <wpg:cNvGrpSpPr/>
                      <wpg:grpSpPr>
                        <a:xfrm>
                          <a:off x="0" y="0"/>
                          <a:ext cx="5383786" cy="2197100"/>
                          <a:chOff x="0" y="0"/>
                          <a:chExt cx="5810249" cy="2381250"/>
                        </a:xfrm>
                      </wpg:grpSpPr>
                      <wpg:graphicFrame>
                        <wpg:cNvPr id="1967851547" name="7 Gráfico"/>
                        <wpg:cNvFrPr/>
                        <wpg:xfrm>
                          <a:off x="0" y="0"/>
                          <a:ext cx="5810249" cy="2381250"/>
                        </wpg:xfrm>
                        <a:graphic>
                          <a:graphicData uri="http://schemas.openxmlformats.org/drawingml/2006/chart">
                            <c:chart xmlns:c="http://schemas.openxmlformats.org/drawingml/2006/chart" xmlns:r="http://schemas.openxmlformats.org/officeDocument/2006/relationships" r:id="rId18"/>
                          </a:graphicData>
                        </a:graphic>
                      </wpg:graphicFrame>
                      <wps:wsp>
                        <wps:cNvPr id="1592912522" name="11 CuadroTexto"/>
                        <wps:cNvSpPr txBox="1"/>
                        <wps:spPr>
                          <a:xfrm>
                            <a:off x="2358605" y="174415"/>
                            <a:ext cx="1291012" cy="454227"/>
                          </a:xfrm>
                          <a:prstGeom prst="rect">
                            <a:avLst/>
                          </a:prstGeom>
                          <a:noFill/>
                          <a:ln>
                            <a:noFill/>
                          </a:ln>
                          <a:effectLst/>
                        </wps:spPr>
                        <wps:txbx>
                          <w:txbxContent>
                            <w:p w14:paraId="36F66735" w14:textId="77777777" w:rsidR="006C7F29" w:rsidRDefault="006C7F29" w:rsidP="006C7F29">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EJEMPLARIDAD</w:t>
                              </w:r>
                            </w:p>
                          </w:txbxContent>
                        </wps:txbx>
                        <wps:bodyPr wrap="square" rtlCol="0" anchor="t">
                          <a:noAutofit/>
                        </wps:bodyPr>
                      </wps:wsp>
                    </wpg:wgp>
                  </a:graphicData>
                </a:graphic>
                <wp14:sizeRelH relativeFrom="page">
                  <wp14:pctWidth>0</wp14:pctWidth>
                </wp14:sizeRelH>
                <wp14:sizeRelV relativeFrom="page">
                  <wp14:pctHeight>0</wp14:pctHeight>
                </wp14:sizeRelV>
              </wp:anchor>
            </w:drawing>
          </mc:Choice>
          <mc:Fallback>
            <w:pict>
              <v:group w14:anchorId="114EB8C8" id="Grupo 7" o:spid="_x0000_s1029" style="position:absolute;left:0;text-align:left;margin-left:21.75pt;margin-top:13.7pt;width:423.9pt;height:173pt;z-index:251659264;mso-position-horizontal-relative:margin" coordsize="58102,2381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">
                <v:shape id="7 Gráfico" o:spid="_x0000_s1030" type="#_x0000_t75" style="position:absolute;left:-65;top:-66;width:58222;height:23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">
                  <v:imagedata r:id="rId19" o:title=""/>
                  <o:lock v:ext="edit" aspectratio="f"/>
                </v:shape>
                <v:shape id="11 CuadroTexto" o:spid="_x0000_s1031" type="#_x0000_t202" style="position:absolute;left:23586;top:1744;width:12910;height:4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" filled="f" stroked="f">
                  <v:textbox>
                    <w:txbxContent>
                      <w:p w14:paraId="36F66735" w14:textId="77777777" w:rsidR="006C7F29" w:rsidRDefault="006C7F29" w:rsidP="006C7F29">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EJEMPLARIDAD</w:t>
                        </w:r>
                      </w:p>
                    </w:txbxContent>
                  </v:textbox>
                </v:shape>
                <w10:wrap anchorx="margin"/>
              </v:group>
            </w:pict>
          </mc:Fallback>
        </mc:AlternateContent>
      </w:r>
    </w:p>
    <w:p w14:paraId="668E6EF6" w14:textId="4174E0D7" w:rsidR="006C7F29" w:rsidRPr="006C7F29" w:rsidRDefault="006C7F29" w:rsidP="006C7F29">
      <w:pPr>
        <w:pStyle w:val="Prrafodelista"/>
        <w:widowControl w:val="0"/>
        <w:ind w:left="426"/>
        <w:rPr>
          <w:rFonts w:ascii="Montserrat" w:hAnsi="Montserrat" w:cs="Arial"/>
          <w:kern w:val="2"/>
        </w:rPr>
      </w:pPr>
    </w:p>
    <w:p w14:paraId="0143C26A" w14:textId="77777777" w:rsidR="006C7F29" w:rsidRPr="006C7F29" w:rsidRDefault="006C7F29" w:rsidP="006C7F29">
      <w:pPr>
        <w:pStyle w:val="Prrafodelista"/>
        <w:widowControl w:val="0"/>
        <w:ind w:left="426"/>
        <w:rPr>
          <w:rFonts w:ascii="Montserrat" w:hAnsi="Montserrat" w:cs="Arial"/>
          <w:kern w:val="2"/>
        </w:rPr>
      </w:pPr>
    </w:p>
    <w:p w14:paraId="1F861754" w14:textId="77777777" w:rsidR="006C7F29" w:rsidRPr="006C7F29" w:rsidRDefault="006C7F29" w:rsidP="006C7F29">
      <w:pPr>
        <w:pStyle w:val="Prrafodelista"/>
        <w:widowControl w:val="0"/>
        <w:ind w:left="426"/>
        <w:rPr>
          <w:rFonts w:ascii="Montserrat" w:hAnsi="Montserrat" w:cs="Arial"/>
          <w:b/>
          <w:kern w:val="2"/>
        </w:rPr>
      </w:pPr>
    </w:p>
    <w:p w14:paraId="7639BB8B" w14:textId="77777777" w:rsidR="006C7F29" w:rsidRPr="006C7F29" w:rsidRDefault="006C7F29" w:rsidP="006C7F29">
      <w:pPr>
        <w:pStyle w:val="Prrafodelista"/>
        <w:widowControl w:val="0"/>
        <w:ind w:left="426"/>
        <w:jc w:val="both"/>
        <w:rPr>
          <w:rFonts w:ascii="Montserrat" w:hAnsi="Montserrat" w:cs="Arial"/>
          <w:b/>
          <w:kern w:val="2"/>
        </w:rPr>
      </w:pPr>
    </w:p>
    <w:p w14:paraId="1FDCBA86" w14:textId="77777777" w:rsidR="006C7F29" w:rsidRPr="006C7F29" w:rsidRDefault="006C7F29" w:rsidP="006C7F29">
      <w:pPr>
        <w:pStyle w:val="Prrafodelista"/>
        <w:widowControl w:val="0"/>
        <w:ind w:left="426"/>
        <w:rPr>
          <w:rFonts w:ascii="Montserrat" w:hAnsi="Montserrat" w:cs="Arial"/>
          <w:b/>
          <w:kern w:val="2"/>
        </w:rPr>
      </w:pPr>
    </w:p>
    <w:p w14:paraId="71EC5BA7" w14:textId="77777777" w:rsidR="006C7F29" w:rsidRPr="006C7F29" w:rsidRDefault="006C7F29" w:rsidP="006C7F29">
      <w:pPr>
        <w:pStyle w:val="Prrafodelista"/>
        <w:widowControl w:val="0"/>
        <w:ind w:left="426"/>
        <w:rPr>
          <w:rFonts w:ascii="Montserrat" w:hAnsi="Montserrat" w:cs="Arial"/>
          <w:b/>
          <w:kern w:val="2"/>
        </w:rPr>
      </w:pPr>
    </w:p>
    <w:p w14:paraId="1384FF9F" w14:textId="77777777" w:rsidR="006C7F29" w:rsidRPr="006C7F29" w:rsidRDefault="006C7F29" w:rsidP="006C7F29">
      <w:pPr>
        <w:pStyle w:val="Prrafodelista"/>
        <w:widowControl w:val="0"/>
        <w:ind w:left="426"/>
        <w:rPr>
          <w:rFonts w:ascii="Montserrat" w:hAnsi="Montserrat" w:cs="Arial"/>
          <w:b/>
          <w:kern w:val="2"/>
        </w:rPr>
      </w:pPr>
    </w:p>
    <w:p w14:paraId="704F243E" w14:textId="77777777" w:rsidR="006C7F29" w:rsidRPr="006C7F29" w:rsidRDefault="006C7F29" w:rsidP="006C7F29">
      <w:pPr>
        <w:pStyle w:val="Prrafodelista"/>
        <w:widowControl w:val="0"/>
        <w:ind w:left="426"/>
        <w:rPr>
          <w:rFonts w:ascii="Montserrat" w:hAnsi="Montserrat" w:cs="Arial"/>
          <w:b/>
          <w:kern w:val="2"/>
        </w:rPr>
      </w:pPr>
    </w:p>
    <w:p w14:paraId="272E422E" w14:textId="77777777" w:rsidR="006C7F29" w:rsidRPr="006C7F29" w:rsidRDefault="006C7F29" w:rsidP="006C7F29">
      <w:pPr>
        <w:pStyle w:val="Prrafodelista"/>
        <w:widowControl w:val="0"/>
        <w:ind w:left="426"/>
        <w:rPr>
          <w:rFonts w:ascii="Montserrat" w:hAnsi="Montserrat" w:cs="Arial"/>
          <w:b/>
          <w:kern w:val="2"/>
        </w:rPr>
      </w:pPr>
    </w:p>
    <w:p w14:paraId="34ADA8AB" w14:textId="77777777" w:rsidR="006C7F29" w:rsidRPr="006C7F29" w:rsidRDefault="006C7F29" w:rsidP="006C7F29">
      <w:pPr>
        <w:pStyle w:val="Prrafodelista"/>
        <w:widowControl w:val="0"/>
        <w:ind w:left="426"/>
        <w:rPr>
          <w:rFonts w:ascii="Montserrat" w:hAnsi="Montserrat" w:cs="Arial"/>
          <w:b/>
          <w:kern w:val="2"/>
        </w:rPr>
      </w:pPr>
    </w:p>
    <w:p w14:paraId="052C6651" w14:textId="77777777" w:rsidR="006C7F29" w:rsidRPr="006C7F29" w:rsidRDefault="006C7F29" w:rsidP="006C7F29">
      <w:pPr>
        <w:pStyle w:val="Prrafodelista"/>
        <w:widowControl w:val="0"/>
        <w:ind w:left="426"/>
        <w:rPr>
          <w:rFonts w:ascii="Montserrat" w:hAnsi="Montserrat" w:cs="Arial"/>
          <w:b/>
          <w:kern w:val="2"/>
        </w:rPr>
      </w:pPr>
    </w:p>
    <w:p w14:paraId="135DDBC3" w14:textId="77777777" w:rsidR="006C7F29" w:rsidRPr="006C7F29" w:rsidRDefault="006C7F29" w:rsidP="006C7F29">
      <w:pPr>
        <w:pStyle w:val="Prrafodelista"/>
        <w:widowControl w:val="0"/>
        <w:ind w:left="426"/>
        <w:rPr>
          <w:rFonts w:ascii="Montserrat" w:hAnsi="Montserrat" w:cs="Arial"/>
          <w:b/>
          <w:kern w:val="2"/>
        </w:rPr>
      </w:pPr>
    </w:p>
    <w:p w14:paraId="12C4935F" w14:textId="77777777" w:rsidR="006C7F29" w:rsidRPr="006C7F29" w:rsidRDefault="006C7F29" w:rsidP="006C7F29">
      <w:pPr>
        <w:pStyle w:val="Prrafodelista"/>
        <w:widowControl w:val="0"/>
        <w:ind w:left="426"/>
        <w:rPr>
          <w:rFonts w:ascii="Montserrat" w:hAnsi="Montserrat" w:cs="Arial"/>
          <w:kern w:val="2"/>
        </w:rPr>
      </w:pPr>
    </w:p>
    <w:p w14:paraId="61144637" w14:textId="77777777" w:rsidR="00831CEA" w:rsidRDefault="00831CEA" w:rsidP="006C7F29">
      <w:pPr>
        <w:pStyle w:val="Prrafodelista"/>
        <w:widowControl w:val="0"/>
        <w:ind w:left="426"/>
        <w:rPr>
          <w:rFonts w:ascii="Montserrat" w:hAnsi="Montserrat" w:cs="Arial"/>
          <w:b/>
          <w:kern w:val="2"/>
        </w:rPr>
      </w:pPr>
    </w:p>
    <w:p w14:paraId="50F793A2" w14:textId="77777777" w:rsidR="00831CEA" w:rsidRDefault="00831CEA" w:rsidP="006C7F29">
      <w:pPr>
        <w:pStyle w:val="Prrafodelista"/>
        <w:widowControl w:val="0"/>
        <w:ind w:left="426"/>
        <w:rPr>
          <w:rFonts w:ascii="Montserrat" w:hAnsi="Montserrat" w:cs="Arial"/>
          <w:b/>
          <w:kern w:val="2"/>
        </w:rPr>
      </w:pPr>
    </w:p>
    <w:p w14:paraId="1A565A96" w14:textId="4305CF89" w:rsidR="006C7F29" w:rsidRPr="006C7F29" w:rsidRDefault="006C7F29" w:rsidP="006C7F29">
      <w:pPr>
        <w:pStyle w:val="Prrafodelista"/>
        <w:widowControl w:val="0"/>
        <w:ind w:left="426"/>
        <w:rPr>
          <w:rFonts w:ascii="Montserrat" w:hAnsi="Montserrat" w:cs="Arial"/>
          <w:b/>
          <w:kern w:val="2"/>
        </w:rPr>
      </w:pPr>
      <w:r w:rsidRPr="006C7F29">
        <w:rPr>
          <w:rFonts w:ascii="Montserrat" w:hAnsi="Montserrat" w:cs="Arial"/>
          <w:b/>
          <w:kern w:val="2"/>
        </w:rPr>
        <w:t>CIFRAS COBRADAS Y VIRTUALES DEL PROGRAMA OPERATIVO ANUAL FEDERAL</w:t>
      </w:r>
    </w:p>
    <w:p w14:paraId="7DDDF35F" w14:textId="77777777" w:rsidR="006C7F29" w:rsidRPr="006C7F29" w:rsidRDefault="006C7F29" w:rsidP="006C7F29">
      <w:pPr>
        <w:pStyle w:val="Prrafodelista"/>
        <w:widowControl w:val="0"/>
        <w:ind w:left="426"/>
        <w:rPr>
          <w:rFonts w:ascii="Montserrat" w:hAnsi="Montserrat" w:cs="Arial"/>
          <w:b/>
          <w:kern w:val="2"/>
        </w:rPr>
      </w:pPr>
    </w:p>
    <w:p w14:paraId="46CE7D45" w14:textId="77777777" w:rsidR="006C7F29" w:rsidRPr="006C7F29" w:rsidRDefault="006C7F29" w:rsidP="006C7F29">
      <w:pPr>
        <w:ind w:left="360"/>
        <w:jc w:val="both"/>
        <w:rPr>
          <w:rFonts w:ascii="Montserrat" w:hAnsi="Montserrat" w:cs="Arial"/>
        </w:rPr>
      </w:pPr>
      <w:r w:rsidRPr="006C7F29">
        <w:rPr>
          <w:rFonts w:ascii="Montserrat" w:hAnsi="Montserrat" w:cs="Arial"/>
        </w:rPr>
        <w:t>Con la finalidad de promover la eficiencia de la función de fiscalización, así como para lograr una cobertura más uniforme con el universo de contribuyentes, a través del Programa Operativo Anual, se concertó una meta recaudatoria para el ejercicio 2024, obteniéndose al mes de diciembre los siguientes avances:</w:t>
      </w:r>
    </w:p>
    <w:p w14:paraId="7AA8A059" w14:textId="77777777" w:rsidR="006C7F29" w:rsidRPr="006C7F29" w:rsidRDefault="006C7F29" w:rsidP="006C7F29">
      <w:pPr>
        <w:pStyle w:val="Prrafodelista"/>
        <w:widowControl w:val="0"/>
        <w:ind w:left="426"/>
        <w:rPr>
          <w:rFonts w:ascii="Montserrat" w:hAnsi="Montserrat" w:cs="Arial"/>
          <w:kern w:val="2"/>
        </w:rPr>
      </w:pPr>
    </w:p>
    <w:p w14:paraId="55F7077C" w14:textId="77777777" w:rsidR="00831CEA" w:rsidRPr="006C7F29" w:rsidRDefault="00831CEA" w:rsidP="006C7F29">
      <w:pPr>
        <w:pStyle w:val="Prrafodelista"/>
        <w:widowControl w:val="0"/>
        <w:ind w:left="426"/>
        <w:rPr>
          <w:rFonts w:ascii="Montserrat" w:hAnsi="Montserrat" w:cs="Arial"/>
          <w:kern w:val="2"/>
        </w:rPr>
      </w:pPr>
    </w:p>
    <w:tbl>
      <w:tblPr>
        <w:tblW w:w="8080" w:type="dxa"/>
        <w:jc w:val="right"/>
        <w:tblCellMar>
          <w:left w:w="70" w:type="dxa"/>
          <w:right w:w="70" w:type="dxa"/>
        </w:tblCellMar>
        <w:tblLook w:val="04A0" w:firstRow="1" w:lastRow="0" w:firstColumn="1" w:lastColumn="0" w:noHBand="0" w:noVBand="1"/>
      </w:tblPr>
      <w:tblGrid>
        <w:gridCol w:w="1871"/>
        <w:gridCol w:w="1758"/>
        <w:gridCol w:w="2477"/>
        <w:gridCol w:w="1974"/>
      </w:tblGrid>
      <w:tr w:rsidR="006C7F29" w:rsidRPr="006C7F29" w14:paraId="51D71D2F" w14:textId="77777777" w:rsidTr="000669E4">
        <w:trPr>
          <w:trHeight w:val="630"/>
          <w:jc w:val="right"/>
        </w:trPr>
        <w:tc>
          <w:tcPr>
            <w:tcW w:w="1871" w:type="dxa"/>
            <w:tcBorders>
              <w:top w:val="single" w:sz="4" w:space="0" w:color="DA9694"/>
              <w:left w:val="single" w:sz="4" w:space="0" w:color="DA9694"/>
              <w:bottom w:val="single" w:sz="4" w:space="0" w:color="DA9694"/>
              <w:right w:val="nil"/>
            </w:tcBorders>
            <w:shd w:val="clear" w:color="auto" w:fill="C0504D"/>
            <w:vAlign w:val="center"/>
            <w:hideMark/>
          </w:tcPr>
          <w:p w14:paraId="05953EA2" w14:textId="77777777" w:rsidR="006C7F29" w:rsidRPr="006C7F29" w:rsidRDefault="006C7F29" w:rsidP="000669E4">
            <w:pPr>
              <w:pStyle w:val="Prrafodelista"/>
              <w:widowControl w:val="0"/>
              <w:ind w:left="426"/>
              <w:jc w:val="center"/>
              <w:rPr>
                <w:rFonts w:ascii="Montserrat" w:hAnsi="Montserrat" w:cs="Arial"/>
                <w:b/>
                <w:bCs/>
                <w:kern w:val="2"/>
              </w:rPr>
            </w:pPr>
            <w:r w:rsidRPr="006C7F29">
              <w:rPr>
                <w:rFonts w:ascii="Montserrat" w:hAnsi="Montserrat" w:cs="Arial"/>
                <w:b/>
                <w:bCs/>
                <w:kern w:val="2"/>
              </w:rPr>
              <w:t>CONCEPTO</w:t>
            </w:r>
          </w:p>
        </w:tc>
        <w:tc>
          <w:tcPr>
            <w:tcW w:w="1758" w:type="dxa"/>
            <w:tcBorders>
              <w:top w:val="single" w:sz="4" w:space="0" w:color="DA9694"/>
              <w:left w:val="nil"/>
              <w:bottom w:val="single" w:sz="4" w:space="0" w:color="DA9694"/>
              <w:right w:val="nil"/>
            </w:tcBorders>
            <w:shd w:val="clear" w:color="auto" w:fill="C0504D"/>
            <w:vAlign w:val="center"/>
            <w:hideMark/>
          </w:tcPr>
          <w:p w14:paraId="49906E92" w14:textId="77777777" w:rsidR="006C7F29" w:rsidRPr="006C7F29" w:rsidRDefault="006C7F29" w:rsidP="000669E4">
            <w:pPr>
              <w:pStyle w:val="Prrafodelista"/>
              <w:widowControl w:val="0"/>
              <w:ind w:left="426"/>
              <w:jc w:val="center"/>
              <w:rPr>
                <w:rFonts w:ascii="Montserrat" w:hAnsi="Montserrat" w:cs="Arial"/>
                <w:b/>
                <w:bCs/>
                <w:kern w:val="2"/>
              </w:rPr>
            </w:pPr>
            <w:r w:rsidRPr="006C7F29">
              <w:rPr>
                <w:rFonts w:ascii="Montserrat" w:hAnsi="Montserrat" w:cs="Arial"/>
                <w:b/>
                <w:bCs/>
                <w:kern w:val="2"/>
              </w:rPr>
              <w:t>META ANUAL (MILES DE PESOS)</w:t>
            </w:r>
          </w:p>
        </w:tc>
        <w:tc>
          <w:tcPr>
            <w:tcW w:w="2477" w:type="dxa"/>
            <w:tcBorders>
              <w:top w:val="single" w:sz="4" w:space="0" w:color="DA9694"/>
              <w:left w:val="nil"/>
              <w:bottom w:val="single" w:sz="4" w:space="0" w:color="DA9694"/>
              <w:right w:val="nil"/>
            </w:tcBorders>
            <w:shd w:val="clear" w:color="auto" w:fill="C0504D"/>
            <w:vAlign w:val="center"/>
            <w:hideMark/>
          </w:tcPr>
          <w:p w14:paraId="44EEA6D6" w14:textId="77777777" w:rsidR="006C7F29" w:rsidRPr="006C7F29" w:rsidRDefault="006C7F29" w:rsidP="000669E4">
            <w:pPr>
              <w:pStyle w:val="Prrafodelista"/>
              <w:widowControl w:val="0"/>
              <w:ind w:left="426"/>
              <w:jc w:val="center"/>
              <w:rPr>
                <w:rFonts w:ascii="Montserrat" w:hAnsi="Montserrat" w:cs="Arial"/>
                <w:b/>
                <w:bCs/>
                <w:kern w:val="2"/>
              </w:rPr>
            </w:pPr>
            <w:r w:rsidRPr="006C7F29">
              <w:rPr>
                <w:rFonts w:ascii="Montserrat" w:hAnsi="Montserrat" w:cs="Arial"/>
                <w:b/>
                <w:bCs/>
                <w:kern w:val="2"/>
              </w:rPr>
              <w:t xml:space="preserve">RECAUDADO          </w:t>
            </w:r>
            <w:r w:rsidRPr="006C7F29">
              <w:rPr>
                <w:rFonts w:ascii="Montserrat" w:hAnsi="Montserrat" w:cs="Arial"/>
                <w:b/>
                <w:bCs/>
                <w:kern w:val="2"/>
              </w:rPr>
              <w:br/>
              <w:t>(MILES DE PESOS)</w:t>
            </w:r>
          </w:p>
        </w:tc>
        <w:tc>
          <w:tcPr>
            <w:tcW w:w="1974" w:type="dxa"/>
            <w:tcBorders>
              <w:top w:val="single" w:sz="4" w:space="0" w:color="DA9694"/>
              <w:left w:val="nil"/>
              <w:bottom w:val="single" w:sz="4" w:space="0" w:color="DA9694"/>
              <w:right w:val="single" w:sz="4" w:space="0" w:color="DA9694"/>
            </w:tcBorders>
            <w:shd w:val="clear" w:color="auto" w:fill="C0504D"/>
            <w:vAlign w:val="center"/>
            <w:hideMark/>
          </w:tcPr>
          <w:p w14:paraId="12834ABE" w14:textId="77777777" w:rsidR="006C7F29" w:rsidRPr="006C7F29" w:rsidRDefault="006C7F29" w:rsidP="000669E4">
            <w:pPr>
              <w:pStyle w:val="Prrafodelista"/>
              <w:widowControl w:val="0"/>
              <w:ind w:left="426"/>
              <w:jc w:val="center"/>
              <w:rPr>
                <w:rFonts w:ascii="Montserrat" w:hAnsi="Montserrat" w:cs="Arial"/>
                <w:b/>
                <w:bCs/>
                <w:kern w:val="2"/>
              </w:rPr>
            </w:pPr>
            <w:r w:rsidRPr="006C7F29">
              <w:rPr>
                <w:rFonts w:ascii="Montserrat" w:hAnsi="Montserrat" w:cs="Arial"/>
                <w:b/>
                <w:bCs/>
                <w:kern w:val="2"/>
              </w:rPr>
              <w:t>AVANCE</w:t>
            </w:r>
          </w:p>
        </w:tc>
      </w:tr>
      <w:tr w:rsidR="006C7F29" w:rsidRPr="006C7F29" w14:paraId="59659B3E" w14:textId="77777777" w:rsidTr="000669E4">
        <w:trPr>
          <w:trHeight w:val="420"/>
          <w:jc w:val="right"/>
        </w:trPr>
        <w:tc>
          <w:tcPr>
            <w:tcW w:w="1871" w:type="dxa"/>
            <w:tcBorders>
              <w:top w:val="single" w:sz="4" w:space="0" w:color="DA9694"/>
              <w:left w:val="single" w:sz="4" w:space="0" w:color="DA9694"/>
              <w:bottom w:val="single" w:sz="4" w:space="0" w:color="DA9694"/>
              <w:right w:val="nil"/>
            </w:tcBorders>
            <w:shd w:val="clear" w:color="auto" w:fill="F2DBDB"/>
            <w:vAlign w:val="center"/>
            <w:hideMark/>
          </w:tcPr>
          <w:p w14:paraId="44877CD3" w14:textId="77777777" w:rsidR="006C7F29" w:rsidRPr="006C7F29" w:rsidRDefault="006C7F29" w:rsidP="000669E4">
            <w:pPr>
              <w:pStyle w:val="Prrafodelista"/>
              <w:widowControl w:val="0"/>
              <w:ind w:left="426"/>
              <w:rPr>
                <w:rFonts w:ascii="Montserrat" w:hAnsi="Montserrat" w:cs="Arial"/>
                <w:kern w:val="2"/>
              </w:rPr>
            </w:pPr>
            <w:r w:rsidRPr="006C7F29">
              <w:rPr>
                <w:rFonts w:ascii="Montserrat" w:hAnsi="Montserrat" w:cs="Arial"/>
                <w:kern w:val="2"/>
              </w:rPr>
              <w:t>Cifras Cobradas</w:t>
            </w:r>
          </w:p>
        </w:tc>
        <w:tc>
          <w:tcPr>
            <w:tcW w:w="1758" w:type="dxa"/>
            <w:tcBorders>
              <w:top w:val="single" w:sz="4" w:space="0" w:color="DA9694"/>
              <w:left w:val="nil"/>
              <w:bottom w:val="single" w:sz="4" w:space="0" w:color="DA9694"/>
              <w:right w:val="nil"/>
            </w:tcBorders>
            <w:shd w:val="clear" w:color="auto" w:fill="F2DBDB"/>
            <w:vAlign w:val="center"/>
            <w:hideMark/>
          </w:tcPr>
          <w:p w14:paraId="1CCC81F2" w14:textId="77777777" w:rsidR="006C7F29" w:rsidRPr="006C7F29" w:rsidRDefault="006C7F29" w:rsidP="000669E4">
            <w:pPr>
              <w:pStyle w:val="Prrafodelista"/>
              <w:widowControl w:val="0"/>
              <w:ind w:left="426"/>
              <w:jc w:val="center"/>
              <w:rPr>
                <w:rFonts w:ascii="Montserrat" w:hAnsi="Montserrat" w:cs="Arial"/>
                <w:kern w:val="2"/>
              </w:rPr>
            </w:pPr>
            <w:r w:rsidRPr="006C7F29">
              <w:rPr>
                <w:rFonts w:ascii="Montserrat" w:hAnsi="Montserrat" w:cs="Arial"/>
                <w:kern w:val="2"/>
              </w:rPr>
              <w:t>$140,000</w:t>
            </w:r>
          </w:p>
        </w:tc>
        <w:tc>
          <w:tcPr>
            <w:tcW w:w="2477" w:type="dxa"/>
            <w:tcBorders>
              <w:top w:val="single" w:sz="4" w:space="0" w:color="DA9694"/>
              <w:left w:val="nil"/>
              <w:bottom w:val="single" w:sz="4" w:space="0" w:color="DA9694"/>
              <w:right w:val="nil"/>
            </w:tcBorders>
            <w:shd w:val="clear" w:color="auto" w:fill="F2DBDB"/>
            <w:vAlign w:val="center"/>
            <w:hideMark/>
          </w:tcPr>
          <w:p w14:paraId="6CA1EBD7" w14:textId="77777777" w:rsidR="006C7F29" w:rsidRPr="006C7F29" w:rsidRDefault="006C7F29" w:rsidP="000669E4">
            <w:pPr>
              <w:pStyle w:val="Prrafodelista"/>
              <w:widowControl w:val="0"/>
              <w:ind w:left="426"/>
              <w:jc w:val="center"/>
              <w:rPr>
                <w:rFonts w:ascii="Montserrat" w:hAnsi="Montserrat" w:cs="Arial"/>
                <w:kern w:val="2"/>
              </w:rPr>
            </w:pPr>
            <w:r w:rsidRPr="006C7F29">
              <w:rPr>
                <w:rFonts w:ascii="Montserrat" w:hAnsi="Montserrat" w:cs="Arial"/>
                <w:kern w:val="2"/>
              </w:rPr>
              <w:t>$ 228,743</w:t>
            </w:r>
          </w:p>
        </w:tc>
        <w:tc>
          <w:tcPr>
            <w:tcW w:w="1974" w:type="dxa"/>
            <w:tcBorders>
              <w:top w:val="single" w:sz="4" w:space="0" w:color="DA9694"/>
              <w:left w:val="nil"/>
              <w:bottom w:val="single" w:sz="4" w:space="0" w:color="DA9694"/>
              <w:right w:val="single" w:sz="4" w:space="0" w:color="DA9694"/>
            </w:tcBorders>
            <w:shd w:val="clear" w:color="auto" w:fill="F2DBDB"/>
            <w:vAlign w:val="center"/>
            <w:hideMark/>
          </w:tcPr>
          <w:p w14:paraId="1AE18986" w14:textId="77777777" w:rsidR="006C7F29" w:rsidRPr="006C7F29" w:rsidRDefault="006C7F29" w:rsidP="000669E4">
            <w:pPr>
              <w:pStyle w:val="Prrafodelista"/>
              <w:widowControl w:val="0"/>
              <w:ind w:left="426"/>
              <w:jc w:val="center"/>
              <w:rPr>
                <w:rFonts w:ascii="Montserrat" w:hAnsi="Montserrat" w:cs="Arial"/>
                <w:kern w:val="2"/>
              </w:rPr>
            </w:pPr>
            <w:r w:rsidRPr="006C7F29">
              <w:rPr>
                <w:rFonts w:ascii="Montserrat" w:hAnsi="Montserrat" w:cs="Arial"/>
                <w:kern w:val="2"/>
              </w:rPr>
              <w:t>163.38 %</w:t>
            </w:r>
          </w:p>
        </w:tc>
      </w:tr>
      <w:tr w:rsidR="006C7F29" w:rsidRPr="006C7F29" w14:paraId="78522572" w14:textId="77777777" w:rsidTr="000669E4">
        <w:trPr>
          <w:trHeight w:val="420"/>
          <w:jc w:val="right"/>
        </w:trPr>
        <w:tc>
          <w:tcPr>
            <w:tcW w:w="1871" w:type="dxa"/>
            <w:tcBorders>
              <w:top w:val="single" w:sz="4" w:space="0" w:color="DA9694"/>
              <w:left w:val="single" w:sz="4" w:space="0" w:color="DA9694"/>
              <w:bottom w:val="single" w:sz="4" w:space="0" w:color="DA9694"/>
              <w:right w:val="nil"/>
            </w:tcBorders>
            <w:vAlign w:val="center"/>
            <w:hideMark/>
          </w:tcPr>
          <w:p w14:paraId="2A0170E4" w14:textId="77777777" w:rsidR="006C7F29" w:rsidRPr="006C7F29" w:rsidRDefault="006C7F29" w:rsidP="000669E4">
            <w:pPr>
              <w:pStyle w:val="Prrafodelista"/>
              <w:widowControl w:val="0"/>
              <w:ind w:left="426"/>
              <w:rPr>
                <w:rFonts w:ascii="Montserrat" w:hAnsi="Montserrat" w:cs="Arial"/>
                <w:kern w:val="2"/>
              </w:rPr>
            </w:pPr>
            <w:r w:rsidRPr="006C7F29">
              <w:rPr>
                <w:rFonts w:ascii="Montserrat" w:hAnsi="Montserrat" w:cs="Arial"/>
                <w:kern w:val="2"/>
              </w:rPr>
              <w:t>Cifras Virtuales</w:t>
            </w:r>
          </w:p>
        </w:tc>
        <w:tc>
          <w:tcPr>
            <w:tcW w:w="1758" w:type="dxa"/>
            <w:tcBorders>
              <w:top w:val="single" w:sz="4" w:space="0" w:color="DA9694"/>
              <w:left w:val="nil"/>
              <w:bottom w:val="single" w:sz="4" w:space="0" w:color="DA9694"/>
              <w:right w:val="nil"/>
            </w:tcBorders>
            <w:vAlign w:val="center"/>
            <w:hideMark/>
          </w:tcPr>
          <w:p w14:paraId="1454ACBA" w14:textId="77777777" w:rsidR="006C7F29" w:rsidRPr="006C7F29" w:rsidRDefault="006C7F29" w:rsidP="000669E4">
            <w:pPr>
              <w:pStyle w:val="Prrafodelista"/>
              <w:widowControl w:val="0"/>
              <w:ind w:left="426"/>
              <w:jc w:val="center"/>
              <w:rPr>
                <w:rFonts w:ascii="Montserrat" w:hAnsi="Montserrat" w:cs="Arial"/>
                <w:kern w:val="2"/>
              </w:rPr>
            </w:pPr>
            <w:r w:rsidRPr="006C7F29">
              <w:rPr>
                <w:rFonts w:ascii="Montserrat" w:hAnsi="Montserrat" w:cs="Arial"/>
                <w:kern w:val="2"/>
              </w:rPr>
              <w:t>$42,000</w:t>
            </w:r>
          </w:p>
        </w:tc>
        <w:tc>
          <w:tcPr>
            <w:tcW w:w="2477" w:type="dxa"/>
            <w:tcBorders>
              <w:top w:val="single" w:sz="4" w:space="0" w:color="DA9694"/>
              <w:left w:val="nil"/>
              <w:bottom w:val="single" w:sz="4" w:space="0" w:color="DA9694"/>
              <w:right w:val="nil"/>
            </w:tcBorders>
            <w:vAlign w:val="center"/>
            <w:hideMark/>
          </w:tcPr>
          <w:p w14:paraId="0F732381" w14:textId="77777777" w:rsidR="006C7F29" w:rsidRPr="006C7F29" w:rsidRDefault="006C7F29" w:rsidP="000669E4">
            <w:pPr>
              <w:pStyle w:val="Prrafodelista"/>
              <w:widowControl w:val="0"/>
              <w:ind w:left="426"/>
              <w:jc w:val="center"/>
              <w:rPr>
                <w:rFonts w:ascii="Montserrat" w:hAnsi="Montserrat" w:cs="Arial"/>
                <w:kern w:val="2"/>
              </w:rPr>
            </w:pPr>
            <w:r w:rsidRPr="006C7F29">
              <w:rPr>
                <w:rFonts w:ascii="Montserrat" w:hAnsi="Montserrat" w:cs="Arial"/>
                <w:kern w:val="2"/>
              </w:rPr>
              <w:t>$ 113,692</w:t>
            </w:r>
          </w:p>
        </w:tc>
        <w:tc>
          <w:tcPr>
            <w:tcW w:w="1974" w:type="dxa"/>
            <w:tcBorders>
              <w:top w:val="single" w:sz="4" w:space="0" w:color="DA9694"/>
              <w:left w:val="nil"/>
              <w:bottom w:val="single" w:sz="4" w:space="0" w:color="DA9694"/>
              <w:right w:val="single" w:sz="4" w:space="0" w:color="DA9694"/>
            </w:tcBorders>
            <w:vAlign w:val="center"/>
            <w:hideMark/>
          </w:tcPr>
          <w:p w14:paraId="4F25CDBA" w14:textId="77777777" w:rsidR="006C7F29" w:rsidRPr="006C7F29" w:rsidRDefault="006C7F29" w:rsidP="000669E4">
            <w:pPr>
              <w:pStyle w:val="Prrafodelista"/>
              <w:widowControl w:val="0"/>
              <w:ind w:left="426"/>
              <w:jc w:val="center"/>
              <w:rPr>
                <w:rFonts w:ascii="Montserrat" w:hAnsi="Montserrat" w:cs="Arial"/>
                <w:kern w:val="2"/>
              </w:rPr>
            </w:pPr>
            <w:r w:rsidRPr="006C7F29">
              <w:rPr>
                <w:rFonts w:ascii="Montserrat" w:hAnsi="Montserrat" w:cs="Arial"/>
                <w:kern w:val="2"/>
              </w:rPr>
              <w:t>270.69 %</w:t>
            </w:r>
          </w:p>
        </w:tc>
      </w:tr>
    </w:tbl>
    <w:p w14:paraId="02736E32" w14:textId="77777777" w:rsidR="006C7F29" w:rsidRPr="006C7F29" w:rsidRDefault="006C7F29" w:rsidP="006C7F29">
      <w:pPr>
        <w:pStyle w:val="Prrafodelista"/>
        <w:widowControl w:val="0"/>
        <w:ind w:left="426"/>
        <w:rPr>
          <w:rFonts w:ascii="Montserrat" w:hAnsi="Montserrat" w:cs="Arial"/>
          <w:b/>
          <w:kern w:val="2"/>
        </w:rPr>
      </w:pPr>
    </w:p>
    <w:p w14:paraId="2157174F" w14:textId="77777777" w:rsidR="006C7F29" w:rsidRPr="006C7F29" w:rsidRDefault="006C7F29" w:rsidP="006C7F29">
      <w:pPr>
        <w:pStyle w:val="Prrafodelista"/>
        <w:widowControl w:val="0"/>
        <w:ind w:left="426"/>
        <w:rPr>
          <w:rFonts w:ascii="Montserrat" w:hAnsi="Montserrat" w:cs="Arial"/>
          <w:b/>
          <w:kern w:val="2"/>
        </w:rPr>
      </w:pPr>
    </w:p>
    <w:p w14:paraId="2525EC73" w14:textId="6C2AC8E9" w:rsidR="006C7F29" w:rsidRPr="006C7F29" w:rsidRDefault="006C7F29" w:rsidP="006C7F29">
      <w:pPr>
        <w:pStyle w:val="Prrafodelista"/>
        <w:keepNext/>
        <w:widowControl w:val="0"/>
        <w:ind w:left="425"/>
        <w:rPr>
          <w:rFonts w:ascii="Montserrat" w:hAnsi="Montserrat" w:cs="Arial"/>
          <w:b/>
          <w:kern w:val="2"/>
        </w:rPr>
      </w:pPr>
      <w:r w:rsidRPr="006C7F29">
        <w:rPr>
          <w:rFonts w:ascii="Montserrat" w:hAnsi="Montserrat" w:cs="Arial"/>
          <w:b/>
          <w:kern w:val="2"/>
        </w:rPr>
        <w:t>IMPUESTOS ESTATALES</w:t>
      </w:r>
    </w:p>
    <w:p w14:paraId="3AECAB7A" w14:textId="77777777" w:rsidR="006C7F29" w:rsidRPr="006C7F29" w:rsidRDefault="006C7F29" w:rsidP="006C7F29">
      <w:pPr>
        <w:pStyle w:val="Prrafodelista"/>
        <w:widowControl w:val="0"/>
        <w:ind w:left="426"/>
        <w:rPr>
          <w:rFonts w:ascii="Montserrat" w:hAnsi="Montserrat" w:cs="Arial"/>
          <w:b/>
          <w:kern w:val="2"/>
        </w:rPr>
      </w:pPr>
    </w:p>
    <w:p w14:paraId="247B4DE6" w14:textId="7F269FA2" w:rsidR="006C7F29" w:rsidRPr="006C7F29" w:rsidRDefault="006C7F29" w:rsidP="006C7F29">
      <w:pPr>
        <w:pStyle w:val="Prrafodelista"/>
        <w:widowControl w:val="0"/>
        <w:ind w:left="426"/>
        <w:rPr>
          <w:rFonts w:ascii="Montserrat" w:hAnsi="Montserrat" w:cs="Arial"/>
          <w:b/>
          <w:kern w:val="2"/>
        </w:rPr>
      </w:pPr>
      <w:r w:rsidRPr="006C7F29">
        <w:rPr>
          <w:rFonts w:ascii="Montserrat" w:hAnsi="Montserrat" w:cs="Arial"/>
          <w:b/>
          <w:kern w:val="2"/>
        </w:rPr>
        <w:t>ACTOS DE FISCALIZACIÓN</w:t>
      </w:r>
    </w:p>
    <w:p w14:paraId="1F0F4C7B" w14:textId="77777777" w:rsidR="006C7F29" w:rsidRDefault="006C7F29" w:rsidP="006C7F29">
      <w:pPr>
        <w:ind w:left="360"/>
        <w:jc w:val="both"/>
        <w:rPr>
          <w:rFonts w:ascii="Montserrat" w:hAnsi="Montserrat" w:cs="Arial"/>
        </w:rPr>
      </w:pPr>
      <w:r w:rsidRPr="006C7F29">
        <w:rPr>
          <w:rFonts w:ascii="Montserrat" w:hAnsi="Montserrat" w:cs="Arial"/>
        </w:rPr>
        <w:t>Derivado de las atribuciones a cargo de esta Secretaría, relacionadas con la verificación del cumplimiento de las obligaciones fiscales de los contribuyentes, al cuarto trimestre de 2024, se realizaron 281 acciones de fiscalización, buscando con ello incrementar la percepción de riesgo en los contribuyentes incumplidos, así como el fortalecimiento de las finanzas públicas motivado por el correcto pago de las contribuciones; cabe señalar que de acuerdo a la concentración del Programa Operativo anual 2024 de impuestos estatales, se tenía una meta anual de 207 actos, lográndose al cuarto trimestre una avance del 135.74% respecto a dicha meta.</w:t>
      </w:r>
    </w:p>
    <w:p w14:paraId="77360B25" w14:textId="77777777" w:rsidR="006C7F29" w:rsidRPr="006C7F29" w:rsidRDefault="006C7F29" w:rsidP="006C7F29">
      <w:pPr>
        <w:ind w:left="360"/>
        <w:jc w:val="both"/>
        <w:rPr>
          <w:rFonts w:ascii="Montserrat" w:hAnsi="Montserrat" w:cs="Arial"/>
        </w:rPr>
      </w:pPr>
    </w:p>
    <w:p w14:paraId="03C006C9" w14:textId="77777777" w:rsidR="00831CEA" w:rsidRDefault="00831CEA">
      <w:pPr>
        <w:rPr>
          <w:rFonts w:ascii="Montserrat" w:eastAsiaTheme="minorHAnsi" w:hAnsi="Montserrat" w:cs="Arial"/>
          <w:b/>
          <w:kern w:val="2"/>
          <w:sz w:val="22"/>
          <w:szCs w:val="22"/>
          <w:lang w:val="es-MX" w:eastAsia="en-US"/>
        </w:rPr>
      </w:pPr>
      <w:r>
        <w:rPr>
          <w:rFonts w:ascii="Montserrat" w:hAnsi="Montserrat" w:cs="Arial"/>
          <w:b/>
          <w:kern w:val="2"/>
        </w:rPr>
        <w:br w:type="page"/>
      </w:r>
    </w:p>
    <w:p w14:paraId="28F5CBDF" w14:textId="78D0F002" w:rsidR="006C7F29" w:rsidRPr="006C7F29" w:rsidRDefault="006C7F29" w:rsidP="006C7F29">
      <w:pPr>
        <w:pStyle w:val="Prrafodelista"/>
        <w:widowControl w:val="0"/>
        <w:ind w:left="426"/>
        <w:rPr>
          <w:rFonts w:ascii="Montserrat" w:hAnsi="Montserrat" w:cs="Arial"/>
          <w:b/>
          <w:kern w:val="2"/>
        </w:rPr>
      </w:pPr>
      <w:r w:rsidRPr="006C7F29">
        <w:rPr>
          <w:rFonts w:ascii="Montserrat" w:hAnsi="Montserrat" w:cs="Arial"/>
          <w:b/>
          <w:kern w:val="2"/>
        </w:rPr>
        <w:lastRenderedPageBreak/>
        <w:t>CIFRAS COBRADAS PROGRAMA OPERATIVO ANUAL ESTATAL</w:t>
      </w:r>
    </w:p>
    <w:p w14:paraId="6E17D20E" w14:textId="77777777" w:rsidR="006C7F29" w:rsidRPr="006C7F29" w:rsidRDefault="006C7F29" w:rsidP="006C7F29">
      <w:pPr>
        <w:ind w:left="360"/>
        <w:jc w:val="both"/>
        <w:rPr>
          <w:rFonts w:ascii="Montserrat" w:hAnsi="Montserrat" w:cs="Arial"/>
        </w:rPr>
      </w:pPr>
      <w:r w:rsidRPr="006C7F29">
        <w:rPr>
          <w:rFonts w:ascii="Montserrat" w:hAnsi="Montserrat" w:cs="Arial"/>
        </w:rPr>
        <w:t xml:space="preserve">A través del Programa Operativo Anual, se concertó una meta recaudatoria para el ejercicio 2024, obteniéndose al mes de diciembre los siguientes resultados: </w:t>
      </w:r>
    </w:p>
    <w:p w14:paraId="22E24F82" w14:textId="77777777" w:rsidR="006C7F29" w:rsidRPr="006C7F29" w:rsidRDefault="006C7F29" w:rsidP="006C7F29">
      <w:pPr>
        <w:pStyle w:val="Prrafodelista"/>
        <w:widowControl w:val="0"/>
        <w:ind w:left="426"/>
        <w:rPr>
          <w:rFonts w:ascii="Montserrat" w:hAnsi="Montserrat" w:cs="Arial"/>
          <w:kern w:val="2"/>
        </w:rPr>
      </w:pPr>
    </w:p>
    <w:tbl>
      <w:tblPr>
        <w:tblW w:w="8019" w:type="dxa"/>
        <w:tblInd w:w="421" w:type="dxa"/>
        <w:tblCellMar>
          <w:left w:w="70" w:type="dxa"/>
          <w:right w:w="70" w:type="dxa"/>
        </w:tblCellMar>
        <w:tblLook w:val="04A0" w:firstRow="1" w:lastRow="0" w:firstColumn="1" w:lastColumn="0" w:noHBand="0" w:noVBand="1"/>
      </w:tblPr>
      <w:tblGrid>
        <w:gridCol w:w="1871"/>
        <w:gridCol w:w="1774"/>
        <w:gridCol w:w="2569"/>
        <w:gridCol w:w="1805"/>
      </w:tblGrid>
      <w:tr w:rsidR="006C7F29" w:rsidRPr="006C7F29" w14:paraId="0D541096" w14:textId="77777777" w:rsidTr="006C7F29">
        <w:trPr>
          <w:trHeight w:val="630"/>
        </w:trPr>
        <w:tc>
          <w:tcPr>
            <w:tcW w:w="1479" w:type="dxa"/>
            <w:tcBorders>
              <w:top w:val="single" w:sz="4" w:space="0" w:color="DA9694"/>
              <w:left w:val="single" w:sz="4" w:space="0" w:color="DA9694"/>
              <w:bottom w:val="single" w:sz="4" w:space="0" w:color="DA9694"/>
              <w:right w:val="nil"/>
            </w:tcBorders>
            <w:shd w:val="clear" w:color="auto" w:fill="C0504D"/>
            <w:vAlign w:val="center"/>
            <w:hideMark/>
          </w:tcPr>
          <w:p w14:paraId="5F1101C5" w14:textId="77777777" w:rsidR="006C7F29" w:rsidRPr="006C7F29" w:rsidRDefault="006C7F29" w:rsidP="006C7F29">
            <w:pPr>
              <w:pStyle w:val="Prrafodelista"/>
              <w:widowControl w:val="0"/>
              <w:ind w:left="426"/>
              <w:jc w:val="center"/>
              <w:rPr>
                <w:rFonts w:ascii="Montserrat" w:hAnsi="Montserrat" w:cs="Arial"/>
                <w:b/>
                <w:bCs/>
                <w:kern w:val="2"/>
              </w:rPr>
            </w:pPr>
            <w:r w:rsidRPr="006C7F29">
              <w:rPr>
                <w:rFonts w:ascii="Montserrat" w:hAnsi="Montserrat" w:cs="Arial"/>
                <w:b/>
                <w:bCs/>
                <w:kern w:val="2"/>
              </w:rPr>
              <w:t>CONCEPTO</w:t>
            </w:r>
          </w:p>
        </w:tc>
        <w:tc>
          <w:tcPr>
            <w:tcW w:w="1900" w:type="dxa"/>
            <w:tcBorders>
              <w:top w:val="single" w:sz="4" w:space="0" w:color="DA9694"/>
              <w:left w:val="nil"/>
              <w:bottom w:val="single" w:sz="4" w:space="0" w:color="DA9694"/>
              <w:right w:val="nil"/>
            </w:tcBorders>
            <w:shd w:val="clear" w:color="auto" w:fill="C0504D"/>
            <w:vAlign w:val="center"/>
            <w:hideMark/>
          </w:tcPr>
          <w:p w14:paraId="2A7DD0B6" w14:textId="77777777" w:rsidR="006C7F29" w:rsidRPr="006C7F29" w:rsidRDefault="006C7F29" w:rsidP="006C7F29">
            <w:pPr>
              <w:pStyle w:val="Prrafodelista"/>
              <w:widowControl w:val="0"/>
              <w:ind w:left="426"/>
              <w:jc w:val="center"/>
              <w:rPr>
                <w:rFonts w:ascii="Montserrat" w:hAnsi="Montserrat" w:cs="Arial"/>
                <w:b/>
                <w:bCs/>
                <w:kern w:val="2"/>
              </w:rPr>
            </w:pPr>
            <w:r w:rsidRPr="006C7F29">
              <w:rPr>
                <w:rFonts w:ascii="Montserrat" w:hAnsi="Montserrat" w:cs="Arial"/>
                <w:b/>
                <w:bCs/>
                <w:kern w:val="2"/>
              </w:rPr>
              <w:t>META ANUAL (MILES DE PESOS)</w:t>
            </w:r>
          </w:p>
        </w:tc>
        <w:tc>
          <w:tcPr>
            <w:tcW w:w="2740" w:type="dxa"/>
            <w:tcBorders>
              <w:top w:val="single" w:sz="4" w:space="0" w:color="DA9694"/>
              <w:left w:val="nil"/>
              <w:bottom w:val="single" w:sz="4" w:space="0" w:color="DA9694"/>
              <w:right w:val="nil"/>
            </w:tcBorders>
            <w:shd w:val="clear" w:color="auto" w:fill="C0504D"/>
            <w:vAlign w:val="center"/>
            <w:hideMark/>
          </w:tcPr>
          <w:p w14:paraId="37BCB068" w14:textId="77777777" w:rsidR="006C7F29" w:rsidRPr="006C7F29" w:rsidRDefault="006C7F29" w:rsidP="006C7F29">
            <w:pPr>
              <w:pStyle w:val="Prrafodelista"/>
              <w:widowControl w:val="0"/>
              <w:ind w:left="426"/>
              <w:jc w:val="center"/>
              <w:rPr>
                <w:rFonts w:ascii="Montserrat" w:hAnsi="Montserrat" w:cs="Arial"/>
                <w:b/>
                <w:bCs/>
                <w:kern w:val="2"/>
              </w:rPr>
            </w:pPr>
            <w:r w:rsidRPr="006C7F29">
              <w:rPr>
                <w:rFonts w:ascii="Montserrat" w:hAnsi="Montserrat" w:cs="Arial"/>
                <w:b/>
                <w:bCs/>
                <w:kern w:val="2"/>
              </w:rPr>
              <w:t xml:space="preserve">RECAUDADO          </w:t>
            </w:r>
            <w:r w:rsidRPr="006C7F29">
              <w:rPr>
                <w:rFonts w:ascii="Montserrat" w:hAnsi="Montserrat" w:cs="Arial"/>
                <w:b/>
                <w:bCs/>
                <w:kern w:val="2"/>
              </w:rPr>
              <w:br/>
              <w:t>(MILES DE PESOS)</w:t>
            </w:r>
          </w:p>
        </w:tc>
        <w:tc>
          <w:tcPr>
            <w:tcW w:w="1900" w:type="dxa"/>
            <w:tcBorders>
              <w:top w:val="single" w:sz="4" w:space="0" w:color="DA9694"/>
              <w:left w:val="nil"/>
              <w:bottom w:val="single" w:sz="4" w:space="0" w:color="DA9694"/>
              <w:right w:val="single" w:sz="4" w:space="0" w:color="DA9694"/>
            </w:tcBorders>
            <w:shd w:val="clear" w:color="auto" w:fill="C0504D"/>
            <w:vAlign w:val="center"/>
            <w:hideMark/>
          </w:tcPr>
          <w:p w14:paraId="5CC85AE6" w14:textId="77777777" w:rsidR="006C7F29" w:rsidRPr="006C7F29" w:rsidRDefault="006C7F29" w:rsidP="006C7F29">
            <w:pPr>
              <w:pStyle w:val="Prrafodelista"/>
              <w:widowControl w:val="0"/>
              <w:ind w:left="426"/>
              <w:jc w:val="center"/>
              <w:rPr>
                <w:rFonts w:ascii="Montserrat" w:hAnsi="Montserrat" w:cs="Arial"/>
                <w:b/>
                <w:bCs/>
                <w:kern w:val="2"/>
              </w:rPr>
            </w:pPr>
            <w:r w:rsidRPr="006C7F29">
              <w:rPr>
                <w:rFonts w:ascii="Montserrat" w:hAnsi="Montserrat" w:cs="Arial"/>
                <w:b/>
                <w:bCs/>
                <w:kern w:val="2"/>
              </w:rPr>
              <w:t>AVANCE</w:t>
            </w:r>
          </w:p>
        </w:tc>
      </w:tr>
      <w:tr w:rsidR="006C7F29" w:rsidRPr="006C7F29" w14:paraId="0EDBAEF0" w14:textId="77777777" w:rsidTr="006C7F29">
        <w:trPr>
          <w:trHeight w:val="420"/>
        </w:trPr>
        <w:tc>
          <w:tcPr>
            <w:tcW w:w="1479" w:type="dxa"/>
            <w:tcBorders>
              <w:top w:val="single" w:sz="4" w:space="0" w:color="DA9694"/>
              <w:left w:val="single" w:sz="4" w:space="0" w:color="DA9694"/>
              <w:bottom w:val="single" w:sz="4" w:space="0" w:color="DA9694"/>
              <w:right w:val="nil"/>
            </w:tcBorders>
            <w:shd w:val="clear" w:color="auto" w:fill="F2DBDB"/>
            <w:vAlign w:val="center"/>
            <w:hideMark/>
          </w:tcPr>
          <w:p w14:paraId="6D0CF499" w14:textId="77777777" w:rsidR="006C7F29" w:rsidRPr="006C7F29" w:rsidRDefault="006C7F29" w:rsidP="006C7F29">
            <w:pPr>
              <w:pStyle w:val="Prrafodelista"/>
              <w:widowControl w:val="0"/>
              <w:ind w:left="426"/>
              <w:rPr>
                <w:rFonts w:ascii="Montserrat" w:hAnsi="Montserrat" w:cs="Arial"/>
                <w:kern w:val="2"/>
              </w:rPr>
            </w:pPr>
            <w:r w:rsidRPr="006C7F29">
              <w:rPr>
                <w:rFonts w:ascii="Montserrat" w:hAnsi="Montserrat" w:cs="Arial"/>
                <w:kern w:val="2"/>
              </w:rPr>
              <w:t>Cifras Cobradas</w:t>
            </w:r>
          </w:p>
        </w:tc>
        <w:tc>
          <w:tcPr>
            <w:tcW w:w="1900" w:type="dxa"/>
            <w:tcBorders>
              <w:top w:val="single" w:sz="4" w:space="0" w:color="DA9694"/>
              <w:left w:val="nil"/>
              <w:bottom w:val="single" w:sz="4" w:space="0" w:color="DA9694"/>
              <w:right w:val="nil"/>
            </w:tcBorders>
            <w:shd w:val="clear" w:color="auto" w:fill="F2DBDB"/>
            <w:vAlign w:val="center"/>
            <w:hideMark/>
          </w:tcPr>
          <w:p w14:paraId="251094EF" w14:textId="77777777" w:rsidR="006C7F29" w:rsidRPr="006C7F29" w:rsidRDefault="006C7F29" w:rsidP="006C7F29">
            <w:pPr>
              <w:pStyle w:val="Prrafodelista"/>
              <w:widowControl w:val="0"/>
              <w:ind w:left="426"/>
              <w:jc w:val="both"/>
              <w:rPr>
                <w:rFonts w:ascii="Montserrat" w:hAnsi="Montserrat" w:cs="Arial"/>
                <w:kern w:val="2"/>
              </w:rPr>
            </w:pPr>
            <w:r w:rsidRPr="006C7F29">
              <w:rPr>
                <w:rFonts w:ascii="Montserrat" w:hAnsi="Montserrat" w:cs="Arial"/>
                <w:kern w:val="2"/>
              </w:rPr>
              <w:t>$14,500</w:t>
            </w:r>
          </w:p>
        </w:tc>
        <w:tc>
          <w:tcPr>
            <w:tcW w:w="2740" w:type="dxa"/>
            <w:tcBorders>
              <w:top w:val="single" w:sz="4" w:space="0" w:color="DA9694"/>
              <w:left w:val="nil"/>
              <w:bottom w:val="single" w:sz="4" w:space="0" w:color="DA9694"/>
              <w:right w:val="nil"/>
            </w:tcBorders>
            <w:shd w:val="clear" w:color="auto" w:fill="F2DBDB"/>
            <w:vAlign w:val="center"/>
            <w:hideMark/>
          </w:tcPr>
          <w:p w14:paraId="082E5857" w14:textId="77777777" w:rsidR="006C7F29" w:rsidRPr="006C7F29" w:rsidRDefault="006C7F29" w:rsidP="006C7F29">
            <w:pPr>
              <w:pStyle w:val="Prrafodelista"/>
              <w:widowControl w:val="0"/>
              <w:ind w:left="426"/>
              <w:jc w:val="both"/>
              <w:rPr>
                <w:rFonts w:ascii="Montserrat" w:hAnsi="Montserrat" w:cs="Arial"/>
                <w:kern w:val="2"/>
              </w:rPr>
            </w:pPr>
            <w:r w:rsidRPr="006C7F29">
              <w:rPr>
                <w:rFonts w:ascii="Montserrat" w:hAnsi="Montserrat" w:cs="Arial"/>
                <w:kern w:val="2"/>
              </w:rPr>
              <w:t>$ 59,536</w:t>
            </w:r>
          </w:p>
        </w:tc>
        <w:tc>
          <w:tcPr>
            <w:tcW w:w="1900" w:type="dxa"/>
            <w:tcBorders>
              <w:top w:val="single" w:sz="4" w:space="0" w:color="DA9694"/>
              <w:left w:val="nil"/>
              <w:bottom w:val="single" w:sz="4" w:space="0" w:color="DA9694"/>
              <w:right w:val="single" w:sz="4" w:space="0" w:color="DA9694"/>
            </w:tcBorders>
            <w:shd w:val="clear" w:color="auto" w:fill="F2DBDB"/>
            <w:vAlign w:val="center"/>
            <w:hideMark/>
          </w:tcPr>
          <w:p w14:paraId="74FFA7F7" w14:textId="77777777" w:rsidR="006C7F29" w:rsidRPr="006C7F29" w:rsidRDefault="006C7F29" w:rsidP="006C7F29">
            <w:pPr>
              <w:pStyle w:val="Prrafodelista"/>
              <w:widowControl w:val="0"/>
              <w:ind w:left="426"/>
              <w:jc w:val="both"/>
              <w:rPr>
                <w:rFonts w:ascii="Montserrat" w:hAnsi="Montserrat" w:cs="Arial"/>
                <w:kern w:val="2"/>
              </w:rPr>
            </w:pPr>
            <w:r w:rsidRPr="006C7F29">
              <w:rPr>
                <w:rFonts w:ascii="Montserrat" w:hAnsi="Montserrat" w:cs="Arial"/>
                <w:kern w:val="2"/>
              </w:rPr>
              <w:t>410.59 %</w:t>
            </w:r>
          </w:p>
        </w:tc>
      </w:tr>
    </w:tbl>
    <w:p w14:paraId="1CD2D893" w14:textId="77777777" w:rsidR="006C7F29" w:rsidRPr="006C7F29" w:rsidRDefault="006C7F29" w:rsidP="006C7F29">
      <w:pPr>
        <w:pStyle w:val="Prrafodelista"/>
        <w:widowControl w:val="0"/>
        <w:ind w:left="426"/>
        <w:rPr>
          <w:rFonts w:ascii="Montserrat" w:hAnsi="Montserrat" w:cs="Arial"/>
          <w:kern w:val="2"/>
        </w:rPr>
      </w:pPr>
    </w:p>
    <w:p w14:paraId="1265C829" w14:textId="7ED914B5" w:rsidR="006C7F29" w:rsidRPr="006C7F29" w:rsidRDefault="006C7F29" w:rsidP="006C7F29">
      <w:pPr>
        <w:pStyle w:val="Prrafodelista"/>
        <w:widowControl w:val="0"/>
        <w:ind w:left="426"/>
        <w:rPr>
          <w:rFonts w:ascii="Montserrat" w:hAnsi="Montserrat" w:cs="Arial"/>
          <w:b/>
          <w:kern w:val="2"/>
        </w:rPr>
      </w:pPr>
      <w:r w:rsidRPr="006C7F29">
        <w:rPr>
          <w:rFonts w:ascii="Montserrat" w:hAnsi="Montserrat" w:cs="Arial"/>
          <w:b/>
          <w:kern w:val="2"/>
        </w:rPr>
        <w:t>CIFRAS COBRADAS PARA AVANCE DE LEY DE INGRESOS</w:t>
      </w:r>
    </w:p>
    <w:p w14:paraId="0F4743A3" w14:textId="77777777" w:rsidR="006C7F29" w:rsidRPr="006C7F29" w:rsidRDefault="006C7F29" w:rsidP="006C7F29">
      <w:pPr>
        <w:ind w:left="360"/>
        <w:jc w:val="both"/>
        <w:rPr>
          <w:rFonts w:ascii="Montserrat" w:hAnsi="Montserrat" w:cs="Arial"/>
        </w:rPr>
      </w:pPr>
      <w:r w:rsidRPr="006C7F29">
        <w:rPr>
          <w:rFonts w:ascii="Montserrat" w:hAnsi="Montserrat" w:cs="Arial"/>
        </w:rPr>
        <w:t>Como resultado de la actividad fiscalizadora, al cuarto trimestre de 2024 la Dirección de Auditoría e Inspección Fiscal tramitó el pago de incentivos económicos ante la Unidad de Coordinación con Entidades Federativas (UCEF) en cantidad de 143 millones 554 mil 50 pesos, asimismo recuperó cifras cobradas que derivan de actos de fiscalización en materia federal que fueron  pagados por los contribuyentes directamente al Estado en cantidad de 39 millones 64 mil 522 pesos, obteniéndose una recaudación total por actos de fiscalización en cantidad de 182 millones 618 mil 572 pesos. Por otra parte, la recaudación lograda de Impuestos Estatales fue de 59 millones 536 mil 110 pesos, en este sentido, se obtuvo un total de ingresos de 242 millones 154 mil 682 pesos, con los cuales se contribuye a sufragar el gasto público.</w:t>
      </w:r>
    </w:p>
    <w:p w14:paraId="3BFA907E" w14:textId="77777777" w:rsidR="006C7F29" w:rsidRPr="006C7F29" w:rsidRDefault="006C7F29" w:rsidP="006C7F29">
      <w:pPr>
        <w:ind w:left="360"/>
        <w:jc w:val="both"/>
        <w:rPr>
          <w:rFonts w:ascii="Montserrat" w:hAnsi="Montserrat" w:cs="Arial"/>
        </w:rPr>
      </w:pPr>
    </w:p>
    <w:p w14:paraId="1686082B" w14:textId="3F23F9E7" w:rsidR="006C7F29" w:rsidRPr="006C7F29" w:rsidRDefault="006C7F29" w:rsidP="006C7F29">
      <w:pPr>
        <w:ind w:left="360"/>
        <w:jc w:val="center"/>
        <w:rPr>
          <w:rFonts w:ascii="Montserrat" w:hAnsi="Montserrat" w:cs="Arial"/>
        </w:rPr>
      </w:pPr>
      <w:r w:rsidRPr="006C7F29">
        <w:rPr>
          <w:rFonts w:ascii="Montserrat" w:hAnsi="Montserrat" w:cs="Arial"/>
          <w:noProof/>
        </w:rPr>
        <w:drawing>
          <wp:inline distT="0" distB="0" distL="0" distR="0" wp14:anchorId="14137AFF" wp14:editId="4BE0EA65">
            <wp:extent cx="3629666" cy="2398815"/>
            <wp:effectExtent l="0" t="0" r="8890" b="1905"/>
            <wp:docPr id="2748108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9085" cy="2405040"/>
                    </a:xfrm>
                    <a:prstGeom prst="rect">
                      <a:avLst/>
                    </a:prstGeom>
                    <a:noFill/>
                    <a:ln>
                      <a:noFill/>
                    </a:ln>
                  </pic:spPr>
                </pic:pic>
              </a:graphicData>
            </a:graphic>
          </wp:inline>
        </w:drawing>
      </w:r>
    </w:p>
    <w:p w14:paraId="62BB474A" w14:textId="77777777" w:rsidR="004B3002" w:rsidRPr="006C7F29" w:rsidRDefault="004B3002" w:rsidP="006C7F29">
      <w:pPr>
        <w:ind w:left="360"/>
        <w:jc w:val="both"/>
        <w:rPr>
          <w:rFonts w:ascii="Montserrat" w:hAnsi="Montserrat" w:cs="Arial"/>
        </w:rPr>
      </w:pPr>
    </w:p>
    <w:p w14:paraId="7838361C" w14:textId="6016B8C5" w:rsidR="00B0059B" w:rsidRPr="006C7F29" w:rsidRDefault="00B0059B" w:rsidP="006C7F29">
      <w:pPr>
        <w:pStyle w:val="Prrafodelista"/>
        <w:widowControl w:val="0"/>
        <w:numPr>
          <w:ilvl w:val="0"/>
          <w:numId w:val="37"/>
        </w:numPr>
        <w:ind w:left="426" w:hanging="426"/>
        <w:jc w:val="both"/>
        <w:rPr>
          <w:rFonts w:ascii="Montserrat" w:hAnsi="Montserrat"/>
          <w:b/>
          <w:sz w:val="24"/>
          <w:szCs w:val="24"/>
        </w:rPr>
      </w:pPr>
      <w:r w:rsidRPr="006C7F29">
        <w:rPr>
          <w:rFonts w:ascii="Montserrat" w:hAnsi="Montserrat"/>
          <w:b/>
          <w:sz w:val="24"/>
          <w:szCs w:val="24"/>
        </w:rPr>
        <w:t>Información sobre la Deuda y el Reporte Analítico de la Deuda</w:t>
      </w:r>
    </w:p>
    <w:p w14:paraId="603F19BE" w14:textId="77777777" w:rsidR="0038477A" w:rsidRPr="006C7F29" w:rsidRDefault="0038477A" w:rsidP="006C7F29">
      <w:pPr>
        <w:ind w:left="360"/>
        <w:jc w:val="both"/>
        <w:rPr>
          <w:rFonts w:ascii="Montserrat" w:hAnsi="Montserrat" w:cs="Arial"/>
          <w:b/>
          <w:bCs/>
        </w:rPr>
      </w:pPr>
      <w:r w:rsidRPr="006C7F29">
        <w:rPr>
          <w:rFonts w:ascii="Montserrat" w:hAnsi="Montserrat" w:cs="Arial"/>
          <w:b/>
          <w:bCs/>
        </w:rPr>
        <w:t>Política de Deuda Pública</w:t>
      </w:r>
    </w:p>
    <w:p w14:paraId="6FCB8143" w14:textId="77777777" w:rsidR="0038477A" w:rsidRPr="006C7F29" w:rsidRDefault="0038477A" w:rsidP="0038477A">
      <w:pPr>
        <w:ind w:left="360"/>
        <w:jc w:val="both"/>
        <w:rPr>
          <w:rFonts w:ascii="Montserrat" w:hAnsi="Montserrat" w:cs="Arial"/>
        </w:rPr>
      </w:pPr>
    </w:p>
    <w:p w14:paraId="6D2ACF1D" w14:textId="77777777" w:rsidR="0038477A" w:rsidRPr="0038477A" w:rsidRDefault="0038477A" w:rsidP="0038477A">
      <w:pPr>
        <w:ind w:left="360"/>
        <w:jc w:val="both"/>
        <w:rPr>
          <w:rFonts w:ascii="Montserrat" w:hAnsi="Montserrat" w:cs="Arial"/>
        </w:rPr>
      </w:pPr>
      <w:r w:rsidRPr="0038477A">
        <w:rPr>
          <w:rFonts w:ascii="Montserrat" w:hAnsi="Montserrat" w:cs="Arial"/>
        </w:rPr>
        <w:t>Se continúa con una política responsable en materia de deuda pública con la implementación de medidas de austeridad y de disciplina financiera en el ejercicio del gasto, aplicando lo establecido en la Ley de Disciplina Financiera de las Entidades Federativas y los Municipios.</w:t>
      </w:r>
    </w:p>
    <w:p w14:paraId="1E587B68" w14:textId="77777777" w:rsidR="0038477A" w:rsidRPr="0038477A" w:rsidRDefault="0038477A" w:rsidP="0038477A">
      <w:pPr>
        <w:ind w:left="360"/>
        <w:jc w:val="both"/>
        <w:rPr>
          <w:rFonts w:ascii="Montserrat" w:hAnsi="Montserrat" w:cs="Arial"/>
        </w:rPr>
      </w:pPr>
    </w:p>
    <w:p w14:paraId="4382FF9A" w14:textId="77777777" w:rsidR="0038477A" w:rsidRDefault="0038477A" w:rsidP="0038477A">
      <w:pPr>
        <w:ind w:left="360"/>
        <w:jc w:val="both"/>
        <w:rPr>
          <w:rFonts w:ascii="Montserrat" w:hAnsi="Montserrat" w:cs="Arial"/>
        </w:rPr>
      </w:pPr>
      <w:r w:rsidRPr="0038477A">
        <w:rPr>
          <w:rFonts w:ascii="Montserrat" w:hAnsi="Montserrat" w:cs="Arial"/>
        </w:rPr>
        <w:t>Como resultado de estas medidas, en el trimestre que se informa no se ha contratado deuda pública adicional ni créditos a corto plazo, y se continúa con el cumplimiento oportuno de las obligaciones contractuales vigentes.</w:t>
      </w:r>
    </w:p>
    <w:p w14:paraId="3BCD76F2" w14:textId="77777777" w:rsidR="00831CEA" w:rsidRPr="0038477A" w:rsidRDefault="00831CEA" w:rsidP="0038477A">
      <w:pPr>
        <w:ind w:left="360"/>
        <w:jc w:val="both"/>
        <w:rPr>
          <w:rFonts w:ascii="Montserrat" w:hAnsi="Montserrat" w:cs="Arial"/>
        </w:rPr>
      </w:pPr>
    </w:p>
    <w:p w14:paraId="139480FA" w14:textId="77777777" w:rsidR="0038477A" w:rsidRPr="0038477A" w:rsidRDefault="0038477A" w:rsidP="0038477A">
      <w:pPr>
        <w:ind w:left="360"/>
        <w:jc w:val="both"/>
        <w:rPr>
          <w:rFonts w:ascii="Montserrat" w:hAnsi="Montserrat" w:cs="Arial"/>
        </w:rPr>
      </w:pPr>
    </w:p>
    <w:p w14:paraId="52F5FCBE" w14:textId="4A34E995" w:rsidR="0038477A" w:rsidRPr="006C7F29" w:rsidRDefault="0038477A" w:rsidP="006C7F29">
      <w:pPr>
        <w:ind w:left="360"/>
        <w:jc w:val="both"/>
        <w:rPr>
          <w:rFonts w:ascii="Montserrat" w:hAnsi="Montserrat" w:cs="Arial"/>
          <w:b/>
          <w:bCs/>
        </w:rPr>
      </w:pPr>
      <w:r w:rsidRPr="006C7F29">
        <w:rPr>
          <w:rFonts w:ascii="Montserrat" w:hAnsi="Montserrat" w:cs="Arial"/>
          <w:b/>
          <w:bCs/>
        </w:rPr>
        <w:t>DEUDA PÚBLICA Y OBLIGACIONES DE PAGO ESTATAL</w:t>
      </w:r>
    </w:p>
    <w:p w14:paraId="5CE926BA" w14:textId="77777777" w:rsidR="006C7F29" w:rsidRPr="006C7F29" w:rsidRDefault="006C7F29" w:rsidP="006C7F29">
      <w:pPr>
        <w:ind w:left="360"/>
        <w:jc w:val="both"/>
        <w:rPr>
          <w:rFonts w:ascii="Montserrat" w:hAnsi="Montserrat" w:cs="Arial"/>
        </w:rPr>
      </w:pPr>
    </w:p>
    <w:p w14:paraId="41EDDF03" w14:textId="77777777" w:rsidR="0038477A" w:rsidRPr="006C7F29" w:rsidRDefault="0038477A" w:rsidP="0038477A">
      <w:pPr>
        <w:ind w:left="360"/>
        <w:jc w:val="both"/>
        <w:rPr>
          <w:rFonts w:ascii="Montserrat" w:hAnsi="Montserrat" w:cs="Arial"/>
        </w:rPr>
      </w:pPr>
      <w:r w:rsidRPr="006C7F29">
        <w:rPr>
          <w:rFonts w:ascii="Montserrat" w:hAnsi="Montserrat" w:cs="Arial"/>
        </w:rPr>
        <w:t>La Ley de Deuda Pública del Estado de Oaxaca establece dos tipos de Financiamientos: los que se consideran como un Pasivo Directo y las Obligaciones de Pago que no representan un pasivo directo al Estado, sin embargo, existe el compromiso de pago.</w:t>
      </w:r>
    </w:p>
    <w:p w14:paraId="5D9155B2" w14:textId="77777777" w:rsidR="0038477A" w:rsidRPr="006C7F29" w:rsidRDefault="0038477A" w:rsidP="0038477A">
      <w:pPr>
        <w:ind w:left="360"/>
        <w:jc w:val="both"/>
        <w:rPr>
          <w:rFonts w:ascii="Montserrat" w:hAnsi="Montserrat" w:cs="Arial"/>
        </w:rPr>
      </w:pPr>
    </w:p>
    <w:p w14:paraId="2B91852D" w14:textId="77777777" w:rsidR="0038477A" w:rsidRPr="0038477A" w:rsidRDefault="0038477A" w:rsidP="0038477A">
      <w:pPr>
        <w:ind w:left="360"/>
        <w:jc w:val="both"/>
        <w:rPr>
          <w:rFonts w:ascii="Montserrat" w:hAnsi="Montserrat" w:cs="Arial"/>
        </w:rPr>
      </w:pPr>
      <w:r w:rsidRPr="0038477A">
        <w:rPr>
          <w:rFonts w:ascii="Montserrat" w:hAnsi="Montserrat" w:cs="Arial"/>
        </w:rPr>
        <w:t>El Estado cuenta con 12 financiamientos vigentes: 10 créditos a largo plazo, considerados como pasivos directos y 2 créditos bono cupón cero, conocidos como Obligaciones de Pago.</w:t>
      </w:r>
    </w:p>
    <w:p w14:paraId="08AEDE53" w14:textId="77777777" w:rsidR="0038477A" w:rsidRPr="0038477A" w:rsidRDefault="0038477A" w:rsidP="0038477A">
      <w:pPr>
        <w:ind w:left="360"/>
        <w:jc w:val="both"/>
        <w:rPr>
          <w:rFonts w:ascii="Montserrat" w:hAnsi="Montserrat" w:cs="Arial"/>
        </w:rPr>
      </w:pPr>
    </w:p>
    <w:p w14:paraId="3793DADD" w14:textId="77777777" w:rsidR="0038477A" w:rsidRPr="0038477A" w:rsidRDefault="0038477A" w:rsidP="0038477A">
      <w:pPr>
        <w:ind w:left="360"/>
        <w:jc w:val="both"/>
        <w:rPr>
          <w:rFonts w:ascii="Montserrat" w:hAnsi="Montserrat" w:cs="Arial"/>
        </w:rPr>
      </w:pPr>
      <w:r w:rsidRPr="0038477A">
        <w:rPr>
          <w:rFonts w:ascii="Montserrat" w:hAnsi="Montserrat" w:cs="Arial"/>
        </w:rPr>
        <w:t>En el mes de septiembre se incorporaron 6 créditos que fueron suscritos el 27 de junio de 2024 y cuyos recursos se dispusieron el 25 de septiembre de 2024, iniciando el periodo de pago a partir de esa fecha.</w:t>
      </w:r>
    </w:p>
    <w:p w14:paraId="3E40196A" w14:textId="77777777" w:rsidR="0038477A" w:rsidRPr="0038477A" w:rsidRDefault="0038477A" w:rsidP="0038477A">
      <w:pPr>
        <w:ind w:left="360"/>
        <w:jc w:val="both"/>
        <w:rPr>
          <w:rFonts w:ascii="Montserrat" w:hAnsi="Montserrat" w:cs="Arial"/>
        </w:rPr>
      </w:pPr>
    </w:p>
    <w:p w14:paraId="3C1BDC23" w14:textId="77777777" w:rsidR="0038477A" w:rsidRPr="0038477A" w:rsidRDefault="0038477A" w:rsidP="0038477A">
      <w:pPr>
        <w:ind w:left="360"/>
        <w:jc w:val="both"/>
        <w:rPr>
          <w:rFonts w:ascii="Montserrat" w:hAnsi="Montserrat" w:cs="Arial"/>
        </w:rPr>
      </w:pPr>
      <w:r w:rsidRPr="0038477A">
        <w:rPr>
          <w:rFonts w:ascii="Montserrat" w:hAnsi="Montserrat" w:cs="Arial"/>
        </w:rPr>
        <w:t>El mismo 25 de septiembre de 2024 se liquidaron anticipadamente 4 créditos que al final de este trimestre muestran un saldo de cero, como se identifica a continuación:</w:t>
      </w:r>
    </w:p>
    <w:p w14:paraId="13D90262" w14:textId="77777777" w:rsidR="0038477A" w:rsidRPr="0038477A" w:rsidRDefault="0038477A" w:rsidP="0038477A">
      <w:pPr>
        <w:ind w:left="360"/>
        <w:jc w:val="both"/>
        <w:rPr>
          <w:rFonts w:ascii="Montserrat" w:hAnsi="Montserrat" w:cs="Arial"/>
        </w:rPr>
      </w:pPr>
    </w:p>
    <w:p w14:paraId="073D3103" w14:textId="48F8D46E" w:rsidR="0038477A" w:rsidRPr="0038477A" w:rsidRDefault="0038477A" w:rsidP="00831CEA">
      <w:pPr>
        <w:ind w:left="426" w:hanging="66"/>
        <w:mirrorIndents/>
        <w:jc w:val="both"/>
        <w:rPr>
          <w:rFonts w:ascii="Montserrat" w:hAnsi="Montserrat" w:cs="Arial"/>
          <w:b/>
          <w:sz w:val="13"/>
          <w:szCs w:val="13"/>
        </w:rPr>
      </w:pPr>
      <w:r w:rsidRPr="00E86E1D">
        <w:rPr>
          <w:noProof/>
        </w:rPr>
        <w:lastRenderedPageBreak/>
        <w:drawing>
          <wp:inline distT="0" distB="0" distL="0" distR="0" wp14:anchorId="647DB45F" wp14:editId="53B561E7">
            <wp:extent cx="5827594" cy="38950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817" cy="3896576"/>
                    </a:xfrm>
                    <a:prstGeom prst="rect">
                      <a:avLst/>
                    </a:prstGeom>
                    <a:noFill/>
                    <a:ln>
                      <a:noFill/>
                    </a:ln>
                  </pic:spPr>
                </pic:pic>
              </a:graphicData>
            </a:graphic>
          </wp:inline>
        </w:drawing>
      </w:r>
    </w:p>
    <w:p w14:paraId="518DF789" w14:textId="77777777" w:rsidR="0038477A" w:rsidRPr="0038477A" w:rsidRDefault="0038477A" w:rsidP="0038477A">
      <w:pPr>
        <w:ind w:left="360"/>
        <w:jc w:val="both"/>
        <w:rPr>
          <w:rFonts w:ascii="Montserrat" w:hAnsi="Montserrat" w:cs="Arial"/>
          <w:bCs/>
          <w:sz w:val="13"/>
          <w:szCs w:val="13"/>
        </w:rPr>
      </w:pPr>
      <w:r w:rsidRPr="0038477A">
        <w:rPr>
          <w:rFonts w:ascii="Montserrat" w:hAnsi="Montserrat" w:cs="Arial"/>
          <w:bCs/>
          <w:sz w:val="13"/>
          <w:szCs w:val="13"/>
        </w:rPr>
        <w:t>1/</w:t>
      </w:r>
      <w:r w:rsidRPr="0038477A">
        <w:rPr>
          <w:rFonts w:ascii="Montserrat" w:hAnsi="Montserrat" w:cs="Arial"/>
          <w:bCs/>
          <w:sz w:val="13"/>
          <w:szCs w:val="13"/>
        </w:rPr>
        <w:tab/>
        <w:t xml:space="preserve"> En términos de la Cláusula Décima Tercera numeral 13.1 del contrato de crédito, el 28 de noviembre de 2022 Banobras activó la aceleración parcial del Crédito</w:t>
      </w:r>
    </w:p>
    <w:p w14:paraId="4E5E2C7E" w14:textId="77777777" w:rsidR="0038477A" w:rsidRPr="0038477A" w:rsidRDefault="0038477A" w:rsidP="0038477A">
      <w:pPr>
        <w:ind w:left="360"/>
        <w:jc w:val="both"/>
        <w:rPr>
          <w:rFonts w:ascii="Montserrat" w:hAnsi="Montserrat" w:cs="Arial"/>
          <w:bCs/>
          <w:sz w:val="13"/>
          <w:szCs w:val="13"/>
        </w:rPr>
      </w:pPr>
      <w:r w:rsidRPr="0038477A">
        <w:rPr>
          <w:rFonts w:ascii="Montserrat" w:hAnsi="Montserrat" w:cs="Arial"/>
          <w:bCs/>
          <w:sz w:val="13"/>
          <w:szCs w:val="13"/>
        </w:rPr>
        <w:t>2/</w:t>
      </w:r>
      <w:r w:rsidRPr="0038477A">
        <w:rPr>
          <w:rFonts w:ascii="Montserrat" w:hAnsi="Montserrat" w:cs="Arial"/>
          <w:bCs/>
          <w:sz w:val="13"/>
          <w:szCs w:val="13"/>
        </w:rPr>
        <w:tab/>
        <w:t>Estos créditos se liquidaron anticipadamente el 25 de septiembre de 2024</w:t>
      </w:r>
    </w:p>
    <w:p w14:paraId="0DDDC2EE" w14:textId="77777777" w:rsidR="0038477A" w:rsidRPr="0038477A" w:rsidRDefault="0038477A" w:rsidP="0038477A">
      <w:pPr>
        <w:ind w:left="360"/>
        <w:jc w:val="both"/>
        <w:rPr>
          <w:rFonts w:ascii="Montserrat" w:hAnsi="Montserrat" w:cs="Arial"/>
          <w:bCs/>
          <w:sz w:val="13"/>
          <w:szCs w:val="13"/>
        </w:rPr>
      </w:pPr>
      <w:r w:rsidRPr="0038477A">
        <w:rPr>
          <w:rFonts w:ascii="Montserrat" w:hAnsi="Montserrat" w:cs="Arial"/>
          <w:bCs/>
          <w:sz w:val="13"/>
          <w:szCs w:val="13"/>
        </w:rPr>
        <w:t>3/</w:t>
      </w:r>
      <w:r w:rsidRPr="0038477A">
        <w:rPr>
          <w:rFonts w:ascii="Montserrat" w:hAnsi="Montserrat" w:cs="Arial"/>
          <w:bCs/>
          <w:sz w:val="13"/>
          <w:szCs w:val="13"/>
        </w:rPr>
        <w:tab/>
        <w:t>Los recursos de estos créditos fueron dispuestos el 25 de septiembre de 2024 para el refinanciamiento de los créditos señalados con la nota 2/</w:t>
      </w:r>
    </w:p>
    <w:p w14:paraId="0F8BE02F" w14:textId="77777777" w:rsidR="0038477A" w:rsidRPr="0038477A" w:rsidRDefault="0038477A" w:rsidP="0038477A">
      <w:pPr>
        <w:ind w:left="360"/>
        <w:jc w:val="both"/>
        <w:rPr>
          <w:rFonts w:ascii="Montserrat" w:hAnsi="Montserrat" w:cs="Arial"/>
          <w:bCs/>
          <w:sz w:val="13"/>
          <w:szCs w:val="13"/>
        </w:rPr>
      </w:pPr>
      <w:r w:rsidRPr="0038477A">
        <w:rPr>
          <w:rFonts w:ascii="Montserrat" w:hAnsi="Montserrat" w:cs="Arial"/>
          <w:bCs/>
          <w:sz w:val="13"/>
          <w:szCs w:val="13"/>
        </w:rPr>
        <w:t>4/</w:t>
      </w:r>
      <w:r w:rsidRPr="0038477A">
        <w:rPr>
          <w:rFonts w:ascii="Montserrat" w:hAnsi="Montserrat" w:cs="Arial"/>
          <w:bCs/>
          <w:sz w:val="13"/>
          <w:szCs w:val="13"/>
        </w:rPr>
        <w:tab/>
        <w:t>El Estado solamente pagará intereses, el principal será cubierto con bonos cupón cero, que serán adquiridos por un Fideicomiso, con cargo al patrimonio del mismo; constituido por el gobierno federal por conducto de la SHCP y Banobras.</w:t>
      </w:r>
    </w:p>
    <w:p w14:paraId="042415A3" w14:textId="77777777" w:rsidR="0038477A" w:rsidRPr="0038477A" w:rsidRDefault="0038477A" w:rsidP="0038477A">
      <w:pPr>
        <w:ind w:left="360"/>
        <w:jc w:val="both"/>
        <w:rPr>
          <w:rFonts w:ascii="Montserrat" w:hAnsi="Montserrat" w:cs="Arial"/>
          <w:bCs/>
          <w:sz w:val="13"/>
          <w:szCs w:val="13"/>
        </w:rPr>
      </w:pPr>
      <w:r w:rsidRPr="0038477A">
        <w:rPr>
          <w:rFonts w:ascii="Montserrat" w:hAnsi="Montserrat" w:cs="Arial"/>
          <w:bCs/>
          <w:sz w:val="13"/>
          <w:szCs w:val="13"/>
        </w:rPr>
        <w:t xml:space="preserve">5/ </w:t>
      </w:r>
      <w:r w:rsidRPr="0038477A">
        <w:rPr>
          <w:rFonts w:ascii="Montserrat" w:hAnsi="Montserrat" w:cs="Arial"/>
          <w:bCs/>
          <w:sz w:val="13"/>
          <w:szCs w:val="13"/>
        </w:rPr>
        <w:tab/>
        <w:t>Se modificó a la baja la sobretasa en relación al período anterior al subir la calificación crediticia de los créditos en 2024: Banobras 363, de 0.40 a 0.39%; Banobras 2,000, de 0.35 a 0.34% y Santander 1000, de 0.29 a 0.288%.</w:t>
      </w:r>
      <w:r w:rsidRPr="0038477A">
        <w:rPr>
          <w:rFonts w:ascii="Montserrat" w:hAnsi="Montserrat" w:cs="Arial"/>
          <w:bCs/>
          <w:sz w:val="13"/>
          <w:szCs w:val="13"/>
        </w:rPr>
        <w:tab/>
      </w:r>
      <w:r w:rsidRPr="0038477A">
        <w:rPr>
          <w:rFonts w:ascii="Montserrat" w:hAnsi="Montserrat" w:cs="Arial"/>
          <w:bCs/>
          <w:sz w:val="13"/>
          <w:szCs w:val="13"/>
        </w:rPr>
        <w:tab/>
      </w:r>
      <w:r w:rsidRPr="0038477A">
        <w:rPr>
          <w:rFonts w:ascii="Montserrat" w:hAnsi="Montserrat" w:cs="Arial"/>
          <w:bCs/>
          <w:sz w:val="13"/>
          <w:szCs w:val="13"/>
        </w:rPr>
        <w:tab/>
      </w:r>
      <w:r w:rsidRPr="0038477A">
        <w:rPr>
          <w:rFonts w:ascii="Montserrat" w:hAnsi="Montserrat" w:cs="Arial"/>
          <w:bCs/>
          <w:sz w:val="13"/>
          <w:szCs w:val="13"/>
        </w:rPr>
        <w:tab/>
      </w:r>
      <w:r w:rsidRPr="0038477A">
        <w:rPr>
          <w:rFonts w:ascii="Montserrat" w:hAnsi="Montserrat" w:cs="Arial"/>
          <w:bCs/>
          <w:sz w:val="13"/>
          <w:szCs w:val="13"/>
        </w:rPr>
        <w:tab/>
      </w:r>
      <w:r w:rsidRPr="0038477A">
        <w:rPr>
          <w:rFonts w:ascii="Montserrat" w:hAnsi="Montserrat" w:cs="Arial"/>
          <w:bCs/>
          <w:sz w:val="13"/>
          <w:szCs w:val="13"/>
        </w:rPr>
        <w:tab/>
      </w:r>
      <w:r w:rsidRPr="0038477A">
        <w:rPr>
          <w:rFonts w:ascii="Montserrat" w:hAnsi="Montserrat" w:cs="Arial"/>
          <w:bCs/>
          <w:sz w:val="13"/>
          <w:szCs w:val="13"/>
        </w:rPr>
        <w:tab/>
      </w:r>
      <w:r w:rsidRPr="0038477A">
        <w:rPr>
          <w:rFonts w:ascii="Montserrat" w:hAnsi="Montserrat" w:cs="Arial"/>
          <w:bCs/>
          <w:sz w:val="13"/>
          <w:szCs w:val="13"/>
        </w:rPr>
        <w:tab/>
      </w:r>
      <w:r w:rsidRPr="0038477A">
        <w:rPr>
          <w:rFonts w:ascii="Montserrat" w:hAnsi="Montserrat" w:cs="Arial"/>
          <w:bCs/>
          <w:sz w:val="13"/>
          <w:szCs w:val="13"/>
        </w:rPr>
        <w:tab/>
      </w:r>
      <w:r w:rsidRPr="0038477A">
        <w:rPr>
          <w:rFonts w:ascii="Montserrat" w:hAnsi="Montserrat" w:cs="Arial"/>
          <w:bCs/>
          <w:sz w:val="13"/>
          <w:szCs w:val="13"/>
        </w:rPr>
        <w:tab/>
      </w:r>
      <w:r w:rsidRPr="0038477A">
        <w:rPr>
          <w:rFonts w:ascii="Montserrat" w:hAnsi="Montserrat" w:cs="Arial"/>
          <w:bCs/>
          <w:sz w:val="13"/>
          <w:szCs w:val="13"/>
        </w:rPr>
        <w:tab/>
      </w:r>
      <w:r w:rsidRPr="0038477A">
        <w:rPr>
          <w:rFonts w:ascii="Montserrat" w:hAnsi="Montserrat" w:cs="Arial"/>
          <w:bCs/>
          <w:sz w:val="13"/>
          <w:szCs w:val="13"/>
        </w:rPr>
        <w:tab/>
      </w:r>
      <w:r w:rsidRPr="0038477A">
        <w:rPr>
          <w:rFonts w:ascii="Montserrat" w:hAnsi="Montserrat" w:cs="Arial"/>
          <w:bCs/>
          <w:sz w:val="13"/>
          <w:szCs w:val="13"/>
        </w:rPr>
        <w:tab/>
      </w:r>
    </w:p>
    <w:p w14:paraId="775EC848" w14:textId="77777777" w:rsidR="0038477A" w:rsidRPr="0038477A" w:rsidRDefault="0038477A" w:rsidP="0038477A">
      <w:pPr>
        <w:ind w:left="360"/>
        <w:jc w:val="both"/>
        <w:rPr>
          <w:rFonts w:ascii="Montserrat" w:hAnsi="Montserrat" w:cs="Arial"/>
          <w:sz w:val="13"/>
          <w:szCs w:val="13"/>
        </w:rPr>
      </w:pPr>
    </w:p>
    <w:p w14:paraId="0A366998" w14:textId="77777777" w:rsidR="0038477A" w:rsidRPr="0038477A" w:rsidRDefault="0038477A" w:rsidP="0038477A">
      <w:pPr>
        <w:ind w:left="360"/>
        <w:jc w:val="both"/>
        <w:rPr>
          <w:rFonts w:ascii="Montserrat" w:hAnsi="Montserrat" w:cs="Arial"/>
        </w:rPr>
      </w:pPr>
      <w:r w:rsidRPr="0038477A">
        <w:rPr>
          <w:rFonts w:ascii="Montserrat" w:hAnsi="Montserrat" w:cs="Arial"/>
        </w:rPr>
        <w:t>El saldo de la deuda pública directa al 31 de diciembre de 2024 asciende a 14 mil 915 millones 769 mil 12 pesos, la cual representa el 90.67% del total de la deuda pública y otras obligaciones de pago; los Créditos Bono Cupón Cero, donde el Estado solamente paga intereses y el pago de capital está a cargo de la Federación, representa el 9.33%.</w:t>
      </w:r>
    </w:p>
    <w:p w14:paraId="536933E7" w14:textId="77777777" w:rsidR="00B0059B" w:rsidRPr="00FD2DE6" w:rsidRDefault="00B0059B" w:rsidP="00B0059B">
      <w:pPr>
        <w:widowControl w:val="0"/>
        <w:jc w:val="both"/>
        <w:rPr>
          <w:rFonts w:ascii="Montserrat" w:hAnsi="Montserrat"/>
          <w:b/>
        </w:rPr>
      </w:pPr>
    </w:p>
    <w:p w14:paraId="05F910E5" w14:textId="77777777" w:rsidR="00B0059B" w:rsidRPr="00FD2DE6" w:rsidRDefault="00B0059B" w:rsidP="00031666">
      <w:pPr>
        <w:pStyle w:val="Prrafodelista"/>
        <w:keepNext/>
        <w:widowControl w:val="0"/>
        <w:numPr>
          <w:ilvl w:val="0"/>
          <w:numId w:val="37"/>
        </w:numPr>
        <w:ind w:left="425" w:hanging="425"/>
        <w:jc w:val="both"/>
        <w:rPr>
          <w:rFonts w:ascii="Montserrat" w:hAnsi="Montserrat"/>
          <w:b/>
          <w:sz w:val="24"/>
          <w:szCs w:val="24"/>
        </w:rPr>
      </w:pPr>
      <w:r w:rsidRPr="00FD2DE6">
        <w:rPr>
          <w:rFonts w:ascii="Montserrat" w:hAnsi="Montserrat"/>
          <w:b/>
          <w:sz w:val="24"/>
          <w:szCs w:val="24"/>
        </w:rPr>
        <w:t>Calificaciones otorgadas</w:t>
      </w:r>
    </w:p>
    <w:p w14:paraId="1A4B7F66"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Las agencias calificadoras durante la última revisión anual 2024 realizada entre el mes de septiembre y octubre, la opinión emitida por estas instituciones, ha sido unánime en otorgar la calidad crediticia al Estado de Oaxaca con la solvencia para cumplir con las obligaciones financieras contratadas, dejando el claro que el riesgo crediticio es bajo.</w:t>
      </w:r>
    </w:p>
    <w:p w14:paraId="5D6329CB" w14:textId="098C5AEE"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lastRenderedPageBreak/>
        <w:t xml:space="preserve">Al cierre del </w:t>
      </w:r>
      <w:r w:rsidR="00831CEA">
        <w:rPr>
          <w:rFonts w:ascii="Montserrat" w:eastAsia="Times New Roman" w:hAnsi="Montserrat" w:cs="Arial"/>
        </w:rPr>
        <w:t xml:space="preserve">ejercicio fiscal </w:t>
      </w:r>
      <w:r w:rsidRPr="002C1139">
        <w:rPr>
          <w:rFonts w:ascii="Montserrat" w:eastAsia="Times New Roman" w:hAnsi="Montserrat" w:cs="Arial"/>
        </w:rPr>
        <w:t xml:space="preserve">2024, las calificaciones hacia el Estado libre y soberano de Oaxaca, se pueden considerar dentro de la media alta como es la apreciación de una de las cuatro encargadas de analizar la información financiera administrada por el actual régimen. </w:t>
      </w:r>
    </w:p>
    <w:p w14:paraId="4047445C"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 xml:space="preserve">Al Estado, se le señala como unos de los estados con una gran dependencia federativa, pero queda demostrado de los recursos recibidos y los recursos propios son administrados con la destreza para no incurrir a los financiamientos a largo plazo ni de corto plazo por lo cual no lleva al Estado a un endeudamiento y mantener la liquidez necesaria para cubrir los gastos que exige la administración del pueblo oaxaqueño. </w:t>
      </w:r>
    </w:p>
    <w:p w14:paraId="091661AE"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La calificación emitida se debe entender como el crédito de la solvencia y la perspectiva es una estimación de lo que podría pasar en un futuro no muy lejano.</w:t>
      </w:r>
    </w:p>
    <w:p w14:paraId="3AAE0509" w14:textId="1C77FD1B"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 xml:space="preserve">Transcurrido </w:t>
      </w:r>
      <w:r w:rsidR="00831CEA">
        <w:rPr>
          <w:rFonts w:ascii="Montserrat" w:eastAsia="Times New Roman" w:hAnsi="Montserrat" w:cs="Arial"/>
        </w:rPr>
        <w:t xml:space="preserve">todo el ejercicio fiscal </w:t>
      </w:r>
      <w:r w:rsidRPr="002C1139">
        <w:rPr>
          <w:rFonts w:ascii="Montserrat" w:eastAsia="Times New Roman" w:hAnsi="Montserrat" w:cs="Arial"/>
        </w:rPr>
        <w:t xml:space="preserve">2024, el estado de Oaxaca recibe de las instituciones calificadoras una buena apreciación relacionada con el riesgo crediticio. </w:t>
      </w:r>
    </w:p>
    <w:p w14:paraId="41040648"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 xml:space="preserve">Se sustenta lo dicho anterior, porque al periodo señalado han mantenido las mismas notificaciones donde se refleja que el Estado de Oaxaca presenta una sólida capacidad de pago de intereses, así como del principal y es poco susceptible a cambios económicos, cuyo significado se traduce que ofrece seguridad para el pago de sus obligaciones financieras contratadas. En otras palabras, las calificaciones emitidas por estas instituciones, reflejan bajo riesgo y certeza de cumplimiento en todo momento. </w:t>
      </w:r>
    </w:p>
    <w:p w14:paraId="5271D418"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En el mes de mayo de 2024, como estrategia administrativa financiera, con previa autorización del Honorable Congreso del Estado de Oaxaca, la presente administración tomó la decisión de reestructurar la deuda pública del Estado con la finalidad de ampliar los plazos de vencimientos de sus obligaciones financieras. El objetivo principal que sustenta esta operación de reestructura, es la reducción del servicio de la deuda que beneficiaría al Estado, así mismo, debido que ha mejorado la calificación crediticia soberana del Estado, se realizó la revisión de la sobretasa que afectaba la tasa efectiva y como resultado esperado, dio a las finanzas contar con una fuente de liquidez para enfrentar las necesidades apremiantes. Además, es uno de los indicadores que evalúan las calificadoras.</w:t>
      </w:r>
    </w:p>
    <w:p w14:paraId="73E271AF"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lastRenderedPageBreak/>
        <w:t>El Gobierno Estatal del Estado de Oaxaca, continúa con apego a los planteamientos administrativos de finanzas determinados al inicio de su administración, de no endeudar al Estado.</w:t>
      </w:r>
    </w:p>
    <w:p w14:paraId="51304607"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En término concreto se resumen en: continuar con la iniciativa de no contratar deuda pública de largo y corto plazos.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Cuarto Trimestre de 2024. A los analistas les permite pensar, que la estrategia aplicada en este tiempo transcurrido le ha dado a este gobierno los resultados esperados.</w:t>
      </w:r>
    </w:p>
    <w:p w14:paraId="43FB5355"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Considerando adicionalmente, que se han incrementado el salario en más del 50% de 8 mil trabajadores de seguridad pública y que se han pagado más de 10 mil millones de pesos de pagos a terceros institucionales y pago de intereses y capital de los créditos con instituciones financieras.</w:t>
      </w:r>
    </w:p>
    <w:p w14:paraId="1BB8C716" w14:textId="77777777" w:rsidR="002C1139" w:rsidRDefault="002C1139" w:rsidP="002C1139">
      <w:pPr>
        <w:tabs>
          <w:tab w:val="left" w:pos="7260"/>
        </w:tabs>
        <w:spacing w:before="240" w:after="240"/>
        <w:jc w:val="both"/>
        <w:rPr>
          <w:rFonts w:ascii="Montserrat" w:eastAsia="Times New Roman" w:hAnsi="Montserrat" w:cs="Arial"/>
        </w:rPr>
      </w:pPr>
      <w:bookmarkStart w:id="5" w:name="_Hlk186791799"/>
      <w:r w:rsidRPr="002C1139">
        <w:rPr>
          <w:rFonts w:ascii="Montserrat" w:eastAsia="Times New Roman" w:hAnsi="Montserrat" w:cs="Arial"/>
        </w:rPr>
        <w:t>La intención de esta administración, es mejorar esta calidad crediticia. Las instituciones financieras lo aprueban y así mismo, emiten en buenos términos esta pronunciación relacionada con la solvencia financiera que el Estado ha logrado con las medidas estratégicas de incrementar el ingreso propio, control del gasto y buena administración de la deuda pública.</w:t>
      </w:r>
    </w:p>
    <w:tbl>
      <w:tblPr>
        <w:tblStyle w:val="Tablaconcuadrcula"/>
        <w:tblW w:w="0" w:type="auto"/>
        <w:tblLook w:val="04A0" w:firstRow="1" w:lastRow="0" w:firstColumn="1" w:lastColumn="0" w:noHBand="0" w:noVBand="1"/>
      </w:tblPr>
      <w:tblGrid>
        <w:gridCol w:w="1775"/>
        <w:gridCol w:w="1735"/>
        <w:gridCol w:w="1755"/>
        <w:gridCol w:w="1790"/>
        <w:gridCol w:w="1721"/>
      </w:tblGrid>
      <w:tr w:rsidR="002C1139" w:rsidRPr="007E0E5E" w14:paraId="4FEBD98A" w14:textId="77777777" w:rsidTr="00732FA0">
        <w:trPr>
          <w:trHeight w:val="256"/>
        </w:trPr>
        <w:tc>
          <w:tcPr>
            <w:tcW w:w="8776" w:type="dxa"/>
            <w:gridSpan w:val="5"/>
            <w:tcBorders>
              <w:bottom w:val="single" w:sz="4" w:space="0" w:color="auto"/>
            </w:tcBorders>
            <w:shd w:val="clear" w:color="auto" w:fill="A6A6A6" w:themeFill="background1" w:themeFillShade="A6"/>
          </w:tcPr>
          <w:p w14:paraId="7A9C0EAC" w14:textId="77777777" w:rsidR="002C1139" w:rsidRPr="00732FA0" w:rsidRDefault="002C1139" w:rsidP="007E0E5E">
            <w:pPr>
              <w:keepLines/>
              <w:tabs>
                <w:tab w:val="left" w:pos="7260"/>
              </w:tabs>
              <w:spacing w:before="60" w:after="60"/>
              <w:jc w:val="center"/>
              <w:rPr>
                <w:rFonts w:ascii="Montserrat" w:eastAsia="Times New Roman" w:hAnsi="Montserrat" w:cs="Arial"/>
                <w:b/>
                <w:bCs/>
                <w:color w:val="FFFFFF" w:themeColor="background1"/>
                <w:sz w:val="16"/>
                <w:szCs w:val="16"/>
              </w:rPr>
            </w:pPr>
            <w:bookmarkStart w:id="6" w:name="_Hlk186791985"/>
            <w:r w:rsidRPr="00732FA0">
              <w:rPr>
                <w:rFonts w:ascii="Montserrat" w:eastAsia="Times New Roman" w:hAnsi="Montserrat" w:cs="Arial"/>
                <w:b/>
                <w:bCs/>
                <w:color w:val="FFFFFF" w:themeColor="background1"/>
                <w:sz w:val="16"/>
                <w:szCs w:val="16"/>
              </w:rPr>
              <w:t xml:space="preserve">CALIFICACIONES </w:t>
            </w:r>
            <w:proofErr w:type="spellStart"/>
            <w:r w:rsidRPr="00732FA0">
              <w:rPr>
                <w:rFonts w:ascii="Montserrat" w:eastAsia="Times New Roman" w:hAnsi="Montserrat" w:cs="Arial"/>
                <w:b/>
                <w:bCs/>
                <w:color w:val="FFFFFF" w:themeColor="background1"/>
                <w:sz w:val="16"/>
                <w:szCs w:val="16"/>
              </w:rPr>
              <w:t>SUBSOBERANAS</w:t>
            </w:r>
            <w:proofErr w:type="spellEnd"/>
            <w:r w:rsidRPr="00732FA0">
              <w:rPr>
                <w:rFonts w:ascii="Montserrat" w:eastAsia="Times New Roman" w:hAnsi="Montserrat" w:cs="Arial"/>
                <w:b/>
                <w:bCs/>
                <w:color w:val="FFFFFF" w:themeColor="background1"/>
                <w:sz w:val="16"/>
                <w:szCs w:val="16"/>
              </w:rPr>
              <w:t xml:space="preserve"> DEL ESTADO DE OAXACA 2023-2024</w:t>
            </w:r>
          </w:p>
        </w:tc>
      </w:tr>
      <w:tr w:rsidR="002C1139" w:rsidRPr="007E0E5E" w14:paraId="33034C6A" w14:textId="77777777" w:rsidTr="00732FA0">
        <w:trPr>
          <w:trHeight w:val="219"/>
        </w:trPr>
        <w:tc>
          <w:tcPr>
            <w:tcW w:w="5265" w:type="dxa"/>
            <w:gridSpan w:val="3"/>
            <w:shd w:val="clear" w:color="auto" w:fill="A6A6A6" w:themeFill="background1" w:themeFillShade="A6"/>
          </w:tcPr>
          <w:p w14:paraId="2605631E" w14:textId="77777777" w:rsidR="002C1139" w:rsidRPr="00732FA0" w:rsidRDefault="002C1139" w:rsidP="007E0E5E">
            <w:pPr>
              <w:keepLines/>
              <w:tabs>
                <w:tab w:val="left" w:pos="7260"/>
              </w:tabs>
              <w:spacing w:before="60" w:after="60"/>
              <w:jc w:val="center"/>
              <w:rPr>
                <w:rFonts w:ascii="Montserrat" w:eastAsia="Times New Roman" w:hAnsi="Montserrat" w:cs="Arial"/>
                <w:b/>
                <w:bCs/>
                <w:color w:val="FFFFFF" w:themeColor="background1"/>
                <w:sz w:val="16"/>
                <w:szCs w:val="16"/>
              </w:rPr>
            </w:pPr>
            <w:r w:rsidRPr="00732FA0">
              <w:rPr>
                <w:rFonts w:ascii="Montserrat" w:eastAsia="Times New Roman" w:hAnsi="Montserrat" w:cs="Arial"/>
                <w:b/>
                <w:bCs/>
                <w:color w:val="FFFFFF" w:themeColor="background1"/>
                <w:sz w:val="16"/>
                <w:szCs w:val="16"/>
              </w:rPr>
              <w:t>2023</w:t>
            </w:r>
          </w:p>
        </w:tc>
        <w:tc>
          <w:tcPr>
            <w:tcW w:w="3511" w:type="dxa"/>
            <w:gridSpan w:val="2"/>
            <w:shd w:val="clear" w:color="auto" w:fill="A6A6A6" w:themeFill="background1" w:themeFillShade="A6"/>
          </w:tcPr>
          <w:p w14:paraId="37B84386" w14:textId="77777777" w:rsidR="002C1139" w:rsidRPr="00732FA0" w:rsidRDefault="002C1139" w:rsidP="007E0E5E">
            <w:pPr>
              <w:keepLines/>
              <w:tabs>
                <w:tab w:val="left" w:pos="7260"/>
              </w:tabs>
              <w:spacing w:before="60" w:after="60"/>
              <w:jc w:val="center"/>
              <w:rPr>
                <w:rFonts w:ascii="Montserrat" w:eastAsia="Times New Roman" w:hAnsi="Montserrat" w:cs="Arial"/>
                <w:b/>
                <w:bCs/>
                <w:color w:val="FFFFFF" w:themeColor="background1"/>
                <w:sz w:val="16"/>
                <w:szCs w:val="16"/>
              </w:rPr>
            </w:pPr>
            <w:r w:rsidRPr="00732FA0">
              <w:rPr>
                <w:rFonts w:ascii="Montserrat" w:eastAsia="Times New Roman" w:hAnsi="Montserrat" w:cs="Arial"/>
                <w:b/>
                <w:bCs/>
                <w:color w:val="FFFFFF" w:themeColor="background1"/>
                <w:sz w:val="16"/>
                <w:szCs w:val="16"/>
              </w:rPr>
              <w:t>2024</w:t>
            </w:r>
          </w:p>
        </w:tc>
      </w:tr>
      <w:tr w:rsidR="002C1139" w:rsidRPr="007E0E5E" w14:paraId="252EF072" w14:textId="77777777" w:rsidTr="007E0E5E">
        <w:trPr>
          <w:trHeight w:val="322"/>
        </w:trPr>
        <w:tc>
          <w:tcPr>
            <w:tcW w:w="1775" w:type="dxa"/>
            <w:vAlign w:val="center"/>
          </w:tcPr>
          <w:p w14:paraId="20974518"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CALIFICADORA</w:t>
            </w:r>
          </w:p>
        </w:tc>
        <w:tc>
          <w:tcPr>
            <w:tcW w:w="1735" w:type="dxa"/>
            <w:vAlign w:val="center"/>
          </w:tcPr>
          <w:p w14:paraId="6642613D"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CALIFICACIÓN</w:t>
            </w:r>
          </w:p>
        </w:tc>
        <w:tc>
          <w:tcPr>
            <w:tcW w:w="1755" w:type="dxa"/>
            <w:vAlign w:val="center"/>
          </w:tcPr>
          <w:p w14:paraId="1B9951DB"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PERSPECTIVAS</w:t>
            </w:r>
          </w:p>
        </w:tc>
        <w:tc>
          <w:tcPr>
            <w:tcW w:w="1790" w:type="dxa"/>
            <w:vAlign w:val="center"/>
          </w:tcPr>
          <w:p w14:paraId="63E5F93A" w14:textId="1768D1B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CALIFICACIÓN</w:t>
            </w:r>
          </w:p>
        </w:tc>
        <w:tc>
          <w:tcPr>
            <w:tcW w:w="1721" w:type="dxa"/>
            <w:vAlign w:val="center"/>
          </w:tcPr>
          <w:p w14:paraId="08970888"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PERSPECTIVA</w:t>
            </w:r>
          </w:p>
        </w:tc>
      </w:tr>
      <w:tr w:rsidR="002C1139" w:rsidRPr="007E0E5E" w14:paraId="24D6C0AE" w14:textId="77777777" w:rsidTr="007E0E5E">
        <w:trPr>
          <w:trHeight w:val="20"/>
        </w:trPr>
        <w:tc>
          <w:tcPr>
            <w:tcW w:w="1775" w:type="dxa"/>
            <w:vAlign w:val="center"/>
          </w:tcPr>
          <w:p w14:paraId="14CB113F"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HR Ratings</w:t>
            </w:r>
          </w:p>
        </w:tc>
        <w:tc>
          <w:tcPr>
            <w:tcW w:w="1735" w:type="dxa"/>
            <w:vAlign w:val="center"/>
          </w:tcPr>
          <w:p w14:paraId="4D614A78" w14:textId="77777777" w:rsidR="002C1139" w:rsidRPr="007E0E5E" w:rsidRDefault="002C1139" w:rsidP="007E0E5E">
            <w:pPr>
              <w:keepLines/>
              <w:tabs>
                <w:tab w:val="left" w:pos="7260"/>
              </w:tabs>
              <w:spacing w:before="60" w:after="60"/>
              <w:jc w:val="center"/>
              <w:rPr>
                <w:rFonts w:ascii="Montserrat" w:eastAsia="Times New Roman" w:hAnsi="Montserrat" w:cs="Arial"/>
                <w:b/>
                <w:bCs/>
                <w:sz w:val="16"/>
                <w:szCs w:val="16"/>
              </w:rPr>
            </w:pPr>
            <w:r w:rsidRPr="007E0E5E">
              <w:rPr>
                <w:rFonts w:ascii="Montserrat" w:eastAsia="Times New Roman" w:hAnsi="Montserrat" w:cs="Arial"/>
                <w:b/>
                <w:bCs/>
                <w:sz w:val="16"/>
                <w:szCs w:val="16"/>
              </w:rPr>
              <w:t>HR A +</w:t>
            </w:r>
          </w:p>
        </w:tc>
        <w:tc>
          <w:tcPr>
            <w:tcW w:w="1755" w:type="dxa"/>
            <w:vAlign w:val="center"/>
          </w:tcPr>
          <w:p w14:paraId="2872BA5B"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Estable</w:t>
            </w:r>
          </w:p>
        </w:tc>
        <w:tc>
          <w:tcPr>
            <w:tcW w:w="1790" w:type="dxa"/>
            <w:vAlign w:val="center"/>
          </w:tcPr>
          <w:p w14:paraId="546409F4" w14:textId="77777777" w:rsidR="002C1139" w:rsidRPr="007E0E5E" w:rsidRDefault="002C1139" w:rsidP="007E0E5E">
            <w:pPr>
              <w:keepLines/>
              <w:tabs>
                <w:tab w:val="left" w:pos="7260"/>
              </w:tabs>
              <w:spacing w:before="60" w:after="60"/>
              <w:jc w:val="center"/>
              <w:rPr>
                <w:rFonts w:ascii="Montserrat" w:eastAsia="Times New Roman" w:hAnsi="Montserrat" w:cs="Arial"/>
                <w:b/>
                <w:bCs/>
                <w:sz w:val="16"/>
                <w:szCs w:val="16"/>
              </w:rPr>
            </w:pPr>
            <w:proofErr w:type="spellStart"/>
            <w:r w:rsidRPr="007E0E5E">
              <w:rPr>
                <w:rFonts w:ascii="Montserrat" w:eastAsia="Times New Roman" w:hAnsi="Montserrat" w:cs="Arial"/>
                <w:b/>
                <w:bCs/>
                <w:sz w:val="16"/>
                <w:szCs w:val="16"/>
              </w:rPr>
              <w:t>HRAA</w:t>
            </w:r>
            <w:proofErr w:type="spellEnd"/>
            <w:r w:rsidRPr="007E0E5E">
              <w:rPr>
                <w:rFonts w:ascii="Montserrat" w:eastAsia="Times New Roman" w:hAnsi="Montserrat" w:cs="Arial"/>
                <w:b/>
                <w:bCs/>
                <w:sz w:val="16"/>
                <w:szCs w:val="16"/>
              </w:rPr>
              <w:t>-</w:t>
            </w:r>
          </w:p>
        </w:tc>
        <w:tc>
          <w:tcPr>
            <w:tcW w:w="1721" w:type="dxa"/>
            <w:vAlign w:val="center"/>
          </w:tcPr>
          <w:p w14:paraId="1CDEA7C4"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Estable</w:t>
            </w:r>
          </w:p>
        </w:tc>
      </w:tr>
      <w:tr w:rsidR="002C1139" w:rsidRPr="007E0E5E" w14:paraId="2D8CF491" w14:textId="77777777" w:rsidTr="007E0E5E">
        <w:trPr>
          <w:trHeight w:val="20"/>
        </w:trPr>
        <w:tc>
          <w:tcPr>
            <w:tcW w:w="1775" w:type="dxa"/>
            <w:vAlign w:val="center"/>
          </w:tcPr>
          <w:p w14:paraId="5DAA88B5"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proofErr w:type="spellStart"/>
            <w:r w:rsidRPr="007E0E5E">
              <w:rPr>
                <w:rFonts w:ascii="Montserrat" w:eastAsia="Times New Roman" w:hAnsi="Montserrat" w:cs="Arial"/>
                <w:sz w:val="16"/>
                <w:szCs w:val="16"/>
              </w:rPr>
              <w:t>S&amp;Poor’s</w:t>
            </w:r>
            <w:proofErr w:type="spellEnd"/>
          </w:p>
        </w:tc>
        <w:tc>
          <w:tcPr>
            <w:tcW w:w="1735" w:type="dxa"/>
            <w:vAlign w:val="center"/>
          </w:tcPr>
          <w:p w14:paraId="724B7C1D"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‘mxA‘</w:t>
            </w:r>
          </w:p>
        </w:tc>
        <w:tc>
          <w:tcPr>
            <w:tcW w:w="1755" w:type="dxa"/>
            <w:vAlign w:val="center"/>
          </w:tcPr>
          <w:p w14:paraId="54E5681C"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Estable</w:t>
            </w:r>
          </w:p>
        </w:tc>
        <w:tc>
          <w:tcPr>
            <w:tcW w:w="1790" w:type="dxa"/>
            <w:vAlign w:val="center"/>
          </w:tcPr>
          <w:p w14:paraId="7FD7D282"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‘mxA’</w:t>
            </w:r>
          </w:p>
        </w:tc>
        <w:tc>
          <w:tcPr>
            <w:tcW w:w="1721" w:type="dxa"/>
            <w:vAlign w:val="center"/>
          </w:tcPr>
          <w:p w14:paraId="15B3CB5A"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Estable</w:t>
            </w:r>
          </w:p>
        </w:tc>
      </w:tr>
      <w:tr w:rsidR="002C1139" w:rsidRPr="007E0E5E" w14:paraId="109F0E9D" w14:textId="77777777" w:rsidTr="007E0E5E">
        <w:trPr>
          <w:trHeight w:val="20"/>
        </w:trPr>
        <w:tc>
          <w:tcPr>
            <w:tcW w:w="1775" w:type="dxa"/>
            <w:vAlign w:val="center"/>
          </w:tcPr>
          <w:p w14:paraId="138F3359"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Fitch</w:t>
            </w:r>
          </w:p>
        </w:tc>
        <w:tc>
          <w:tcPr>
            <w:tcW w:w="1735" w:type="dxa"/>
            <w:vAlign w:val="center"/>
          </w:tcPr>
          <w:p w14:paraId="77B19A8C" w14:textId="77777777" w:rsidR="002C1139" w:rsidRPr="007E0E5E" w:rsidRDefault="002C1139" w:rsidP="007E0E5E">
            <w:pPr>
              <w:keepLines/>
              <w:tabs>
                <w:tab w:val="left" w:pos="7260"/>
              </w:tabs>
              <w:spacing w:before="60" w:after="60"/>
              <w:jc w:val="center"/>
              <w:rPr>
                <w:rFonts w:ascii="Montserrat" w:eastAsia="Times New Roman" w:hAnsi="Montserrat" w:cs="Arial"/>
                <w:b/>
                <w:bCs/>
                <w:sz w:val="16"/>
                <w:szCs w:val="16"/>
              </w:rPr>
            </w:pPr>
            <w:r w:rsidRPr="007E0E5E">
              <w:rPr>
                <w:rFonts w:ascii="Montserrat" w:eastAsia="Times New Roman" w:hAnsi="Montserrat" w:cs="Arial"/>
                <w:b/>
                <w:bCs/>
                <w:sz w:val="16"/>
                <w:szCs w:val="16"/>
              </w:rPr>
              <w:t>‘A(mex)’</w:t>
            </w:r>
          </w:p>
        </w:tc>
        <w:tc>
          <w:tcPr>
            <w:tcW w:w="1755" w:type="dxa"/>
            <w:vAlign w:val="center"/>
          </w:tcPr>
          <w:p w14:paraId="7382D60E"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Estable</w:t>
            </w:r>
          </w:p>
        </w:tc>
        <w:tc>
          <w:tcPr>
            <w:tcW w:w="1790" w:type="dxa"/>
            <w:vAlign w:val="center"/>
          </w:tcPr>
          <w:p w14:paraId="7D5AD82F" w14:textId="77777777" w:rsidR="002C1139" w:rsidRPr="007E0E5E" w:rsidRDefault="002C1139" w:rsidP="007E0E5E">
            <w:pPr>
              <w:keepLines/>
              <w:tabs>
                <w:tab w:val="left" w:pos="7260"/>
              </w:tabs>
              <w:spacing w:before="60" w:after="60"/>
              <w:jc w:val="center"/>
              <w:rPr>
                <w:rFonts w:ascii="Montserrat" w:eastAsia="Times New Roman" w:hAnsi="Montserrat" w:cs="Arial"/>
                <w:b/>
                <w:bCs/>
                <w:sz w:val="16"/>
                <w:szCs w:val="16"/>
              </w:rPr>
            </w:pPr>
            <w:r w:rsidRPr="007E0E5E">
              <w:rPr>
                <w:rFonts w:ascii="Montserrat" w:eastAsia="Times New Roman" w:hAnsi="Montserrat" w:cs="Arial"/>
                <w:b/>
                <w:bCs/>
                <w:sz w:val="16"/>
                <w:szCs w:val="16"/>
              </w:rPr>
              <w:t>‘A+(mex)’</w:t>
            </w:r>
          </w:p>
        </w:tc>
        <w:tc>
          <w:tcPr>
            <w:tcW w:w="1721" w:type="dxa"/>
            <w:vAlign w:val="center"/>
          </w:tcPr>
          <w:p w14:paraId="21248214" w14:textId="77777777" w:rsidR="002C1139" w:rsidRPr="007E0E5E" w:rsidRDefault="002C1139" w:rsidP="007E0E5E">
            <w:pPr>
              <w:keepLines/>
              <w:tabs>
                <w:tab w:val="left" w:pos="7260"/>
              </w:tabs>
              <w:spacing w:before="60" w:after="60"/>
              <w:jc w:val="center"/>
              <w:rPr>
                <w:rFonts w:ascii="Montserrat" w:eastAsia="Times New Roman" w:hAnsi="Montserrat" w:cs="Arial"/>
                <w:b/>
                <w:bCs/>
                <w:sz w:val="16"/>
                <w:szCs w:val="16"/>
              </w:rPr>
            </w:pPr>
            <w:r w:rsidRPr="007E0E5E">
              <w:rPr>
                <w:rFonts w:ascii="Montserrat" w:eastAsia="Times New Roman" w:hAnsi="Montserrat" w:cs="Arial"/>
                <w:b/>
                <w:bCs/>
                <w:sz w:val="16"/>
                <w:szCs w:val="16"/>
              </w:rPr>
              <w:t>Positiva</w:t>
            </w:r>
          </w:p>
        </w:tc>
      </w:tr>
      <w:tr w:rsidR="002C1139" w:rsidRPr="007E0E5E" w14:paraId="230BCC9E" w14:textId="77777777" w:rsidTr="007E0E5E">
        <w:trPr>
          <w:trHeight w:val="20"/>
        </w:trPr>
        <w:tc>
          <w:tcPr>
            <w:tcW w:w="1775" w:type="dxa"/>
            <w:vAlign w:val="center"/>
          </w:tcPr>
          <w:p w14:paraId="41004C3E"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Moody’s</w:t>
            </w:r>
          </w:p>
        </w:tc>
        <w:tc>
          <w:tcPr>
            <w:tcW w:w="1735" w:type="dxa"/>
            <w:vAlign w:val="center"/>
          </w:tcPr>
          <w:p w14:paraId="4379AAA2"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(A-.mx)</w:t>
            </w:r>
          </w:p>
        </w:tc>
        <w:tc>
          <w:tcPr>
            <w:tcW w:w="1755" w:type="dxa"/>
            <w:vAlign w:val="center"/>
          </w:tcPr>
          <w:p w14:paraId="2D93E6F7"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Estable</w:t>
            </w:r>
          </w:p>
        </w:tc>
        <w:tc>
          <w:tcPr>
            <w:tcW w:w="1790" w:type="dxa"/>
            <w:vAlign w:val="center"/>
          </w:tcPr>
          <w:p w14:paraId="1E104A9A"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(A-.mx)</w:t>
            </w:r>
          </w:p>
        </w:tc>
        <w:tc>
          <w:tcPr>
            <w:tcW w:w="1721" w:type="dxa"/>
            <w:vAlign w:val="center"/>
          </w:tcPr>
          <w:p w14:paraId="720ACA9D" w14:textId="77777777" w:rsidR="002C1139" w:rsidRPr="007E0E5E" w:rsidRDefault="002C1139" w:rsidP="007E0E5E">
            <w:pPr>
              <w:keepLines/>
              <w:tabs>
                <w:tab w:val="left" w:pos="7260"/>
              </w:tabs>
              <w:spacing w:before="60" w:after="60"/>
              <w:jc w:val="center"/>
              <w:rPr>
                <w:rFonts w:ascii="Montserrat" w:eastAsia="Times New Roman" w:hAnsi="Montserrat" w:cs="Arial"/>
                <w:sz w:val="16"/>
                <w:szCs w:val="16"/>
              </w:rPr>
            </w:pPr>
            <w:r w:rsidRPr="007E0E5E">
              <w:rPr>
                <w:rFonts w:ascii="Montserrat" w:eastAsia="Times New Roman" w:hAnsi="Montserrat" w:cs="Arial"/>
                <w:sz w:val="16"/>
                <w:szCs w:val="16"/>
              </w:rPr>
              <w:t>Estable</w:t>
            </w:r>
          </w:p>
        </w:tc>
      </w:tr>
    </w:tbl>
    <w:bookmarkEnd w:id="6"/>
    <w:p w14:paraId="4DD49468"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En año 2024, para el Estado ha sido el mejor logro histórico en el avance de las calificaciones notificadas desde los años que se tiene registro.</w:t>
      </w:r>
    </w:p>
    <w:p w14:paraId="6F4E2E39"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 xml:space="preserve">No se había visto en años anteriores que se posicionara con las más altas calificaciones. Estándar &amp;Poor’s y Moody’s ratificaron su calificación. </w:t>
      </w:r>
    </w:p>
    <w:p w14:paraId="112AAFBD" w14:textId="75627C43" w:rsidR="002C1139" w:rsidRPr="002C1139" w:rsidRDefault="002C1139" w:rsidP="007E0E5E">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lastRenderedPageBreak/>
        <w:t xml:space="preserve">HR </w:t>
      </w:r>
      <w:proofErr w:type="spellStart"/>
      <w:r w:rsidRPr="002C1139">
        <w:rPr>
          <w:rFonts w:ascii="Montserrat" w:eastAsia="Times New Roman" w:hAnsi="Montserrat" w:cs="Arial"/>
        </w:rPr>
        <w:t>Rantings</w:t>
      </w:r>
      <w:proofErr w:type="spellEnd"/>
      <w:r w:rsidRPr="002C1139">
        <w:rPr>
          <w:rFonts w:ascii="Montserrat" w:eastAsia="Times New Roman" w:hAnsi="Montserrat" w:cs="Arial"/>
        </w:rPr>
        <w:t xml:space="preserve"> y Fitch </w:t>
      </w:r>
      <w:proofErr w:type="spellStart"/>
      <w:r w:rsidRPr="002C1139">
        <w:rPr>
          <w:rFonts w:ascii="Montserrat" w:eastAsia="Times New Roman" w:hAnsi="Montserrat" w:cs="Arial"/>
        </w:rPr>
        <w:t>Rantings</w:t>
      </w:r>
      <w:proofErr w:type="spellEnd"/>
      <w:r w:rsidRPr="002C1139">
        <w:rPr>
          <w:rFonts w:ascii="Montserrat" w:eastAsia="Times New Roman" w:hAnsi="Montserrat" w:cs="Arial"/>
        </w:rPr>
        <w:t>, revisaron al alza la calificación. Las cuatro calificadoras emitieron la opinión que la perspectiva aceptable e inclusive una de ellas, con el sentido de llevar la calificación al siguiente nivel superior.</w:t>
      </w:r>
      <w:r w:rsidR="007E0E5E">
        <w:rPr>
          <w:rFonts w:ascii="Montserrat" w:eastAsia="Times New Roman" w:hAnsi="Montserrat" w:cs="Arial"/>
        </w:rPr>
        <w:tab/>
      </w:r>
    </w:p>
    <w:p w14:paraId="2DA4A6D9"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Las opiniones de las agencias calificadoras son de importancia de tomarse en cuenta por los diagnósticos aportados sobre las fortalezas y debilidades de los resultados y perspectivas de una administración gubernamental. Además, de las sugerencias mediante observaciones que éstas proponen.</w:t>
      </w:r>
    </w:p>
    <w:bookmarkEnd w:id="5"/>
    <w:p w14:paraId="75925258"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La fuerte inversión que se está canalizando en el sureste del país con el apoyo de la federación con el proyecto del Corredor Transístmico (Salina Cruz, Oaxaca-Coatzacoalcos, Veracruz). Detonará un desarrollo económico en esta región oaxaqueña, además, no solamente hará cambiar la perspectiva sino también la calificación.</w:t>
      </w:r>
    </w:p>
    <w:p w14:paraId="582C5DDF" w14:textId="77777777" w:rsidR="002C1139" w:rsidRPr="002C1139" w:rsidRDefault="002C1139" w:rsidP="002C1139">
      <w:pPr>
        <w:tabs>
          <w:tab w:val="left" w:pos="7260"/>
        </w:tabs>
        <w:spacing w:before="240" w:after="240"/>
        <w:jc w:val="both"/>
        <w:rPr>
          <w:rFonts w:ascii="Montserrat" w:eastAsia="Times New Roman" w:hAnsi="Montserrat" w:cs="Arial"/>
        </w:rPr>
      </w:pPr>
      <w:bookmarkStart w:id="7" w:name="_Hlk186791877"/>
      <w:r w:rsidRPr="002C1139">
        <w:rPr>
          <w:rFonts w:ascii="Montserrat" w:eastAsia="Times New Roman" w:hAnsi="Montserrat" w:cs="Arial"/>
        </w:rPr>
        <w:t>Las mejores condiciones observadas para el otorgamiento de la calificación soberana del Estado y los buenos términos de la perspectiva de la misma. Las agencias se basaron en las siguientes fortalezas:</w:t>
      </w:r>
    </w:p>
    <w:p w14:paraId="391A2228" w14:textId="77777777" w:rsidR="002C1139" w:rsidRPr="00831CEA"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831CEA">
        <w:rPr>
          <w:rFonts w:ascii="Montserrat" w:eastAsia="Times New Roman" w:hAnsi="Montserrat" w:cs="Arial"/>
          <w:sz w:val="24"/>
          <w:szCs w:val="24"/>
        </w:rPr>
        <w:t>Mejora en el perfil de endeudamiento. El Estado no contrató financiamiento de corto ni lago plazos durante los años de esta administración.</w:t>
      </w:r>
    </w:p>
    <w:p w14:paraId="3A9D32D2" w14:textId="77777777" w:rsidR="002C1139" w:rsidRPr="00831CEA"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831CEA">
        <w:rPr>
          <w:rFonts w:ascii="Montserrat" w:eastAsia="Times New Roman" w:hAnsi="Montserrat" w:cs="Arial"/>
          <w:sz w:val="24"/>
          <w:szCs w:val="24"/>
        </w:rPr>
        <w:t xml:space="preserve">El perfil y la estructura favorable de la deuda directa de largo plazo y sostenibilidad adecuada. Se considera que el endeudamiento del Estado como moderado y decreciente, en relación con su capacidad financiera y manejable para la entidad en el largo plazo. </w:t>
      </w:r>
    </w:p>
    <w:p w14:paraId="3BB37768" w14:textId="77777777" w:rsidR="002C1139" w:rsidRPr="00831CEA"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831CEA">
        <w:rPr>
          <w:rFonts w:ascii="Montserrat" w:eastAsia="Times New Roman" w:hAnsi="Montserrat" w:cs="Arial"/>
          <w:sz w:val="24"/>
          <w:szCs w:val="24"/>
        </w:rPr>
        <w:t>La deuda pública a largo plazo está respaldada con operaciones de coberturas financieras (Swap).</w:t>
      </w:r>
    </w:p>
    <w:p w14:paraId="6EF8B7CE" w14:textId="77777777" w:rsidR="002C1139" w:rsidRPr="00831CEA"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831CEA">
        <w:rPr>
          <w:rFonts w:ascii="Montserrat" w:eastAsia="Times New Roman" w:hAnsi="Montserrat" w:cs="Arial"/>
          <w:sz w:val="24"/>
          <w:szCs w:val="24"/>
        </w:rPr>
        <w:t>Superávit en el Balance Primario.</w:t>
      </w:r>
    </w:p>
    <w:p w14:paraId="56B050AC" w14:textId="77777777" w:rsidR="002C1139" w:rsidRPr="00831CEA"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831CEA">
        <w:rPr>
          <w:rFonts w:ascii="Montserrat" w:eastAsia="Times New Roman" w:hAnsi="Montserrat" w:cs="Arial"/>
          <w:sz w:val="24"/>
          <w:szCs w:val="24"/>
        </w:rPr>
        <w:t>Bajo Pasivo Circulante.</w:t>
      </w:r>
    </w:p>
    <w:p w14:paraId="3AE1488E" w14:textId="77777777" w:rsidR="007E0E5E" w:rsidRPr="00831CEA" w:rsidRDefault="002C1139" w:rsidP="001E14CB">
      <w:pPr>
        <w:pStyle w:val="Prrafodelista"/>
        <w:numPr>
          <w:ilvl w:val="0"/>
          <w:numId w:val="27"/>
        </w:numPr>
        <w:tabs>
          <w:tab w:val="left" w:pos="7260"/>
        </w:tabs>
        <w:spacing w:before="240" w:after="240"/>
        <w:jc w:val="both"/>
        <w:rPr>
          <w:rFonts w:ascii="Montserrat" w:eastAsia="Times New Roman" w:hAnsi="Montserrat" w:cs="Arial"/>
          <w:sz w:val="24"/>
          <w:szCs w:val="24"/>
        </w:rPr>
      </w:pPr>
      <w:r w:rsidRPr="00831CEA">
        <w:rPr>
          <w:rFonts w:ascii="Montserrat" w:eastAsia="Times New Roman" w:hAnsi="Montserrat" w:cs="Arial"/>
          <w:sz w:val="24"/>
          <w:szCs w:val="24"/>
        </w:rPr>
        <w:t>Políticas fiscales y administrativas para mantener e incrementar los niveles de recaudación local.</w:t>
      </w:r>
    </w:p>
    <w:p w14:paraId="1FDEAC23" w14:textId="6E5B2D2F" w:rsidR="002C1139" w:rsidRPr="00831CEA" w:rsidRDefault="002C1139" w:rsidP="001E14CB">
      <w:pPr>
        <w:pStyle w:val="Prrafodelista"/>
        <w:numPr>
          <w:ilvl w:val="0"/>
          <w:numId w:val="27"/>
        </w:numPr>
        <w:tabs>
          <w:tab w:val="left" w:pos="7260"/>
        </w:tabs>
        <w:spacing w:before="240" w:after="240"/>
        <w:jc w:val="both"/>
        <w:rPr>
          <w:rFonts w:ascii="Montserrat" w:eastAsia="Times New Roman" w:hAnsi="Montserrat" w:cs="Arial"/>
          <w:sz w:val="24"/>
          <w:szCs w:val="24"/>
        </w:rPr>
      </w:pPr>
      <w:r w:rsidRPr="00831CEA">
        <w:rPr>
          <w:rFonts w:ascii="Montserrat" w:eastAsia="Times New Roman" w:hAnsi="Montserrat" w:cs="Arial"/>
          <w:sz w:val="24"/>
          <w:szCs w:val="24"/>
        </w:rPr>
        <w:t>La generación adecuada de ahorro interno.</w:t>
      </w:r>
    </w:p>
    <w:p w14:paraId="3C7E783B" w14:textId="77777777" w:rsidR="002C1139" w:rsidRPr="00831CEA"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831CEA">
        <w:rPr>
          <w:rFonts w:ascii="Montserrat" w:eastAsia="Times New Roman" w:hAnsi="Montserrat" w:cs="Arial"/>
          <w:sz w:val="24"/>
          <w:szCs w:val="24"/>
        </w:rPr>
        <w:t>Posición de liquidez adecuada.</w:t>
      </w:r>
    </w:p>
    <w:p w14:paraId="5AD74E24" w14:textId="77777777" w:rsidR="002C1139" w:rsidRPr="00831CEA"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831CEA">
        <w:rPr>
          <w:rFonts w:ascii="Montserrat" w:eastAsia="Times New Roman" w:hAnsi="Montserrat" w:cs="Arial"/>
          <w:sz w:val="24"/>
          <w:szCs w:val="24"/>
        </w:rPr>
        <w:t xml:space="preserve">Márgenes operativos positivos </w:t>
      </w:r>
      <w:bookmarkEnd w:id="7"/>
    </w:p>
    <w:p w14:paraId="10DDABB3"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Las opiniones siguientes son tomadas de los reportes que las diferentes agencias calificadoras que emiten para el conocimiento del interés público dadas a conocer en la página de la Secretaría de Finanzas.</w:t>
      </w:r>
    </w:p>
    <w:p w14:paraId="50B2B725" w14:textId="77777777" w:rsidR="002C1139" w:rsidRPr="007E0E5E" w:rsidRDefault="002C1139" w:rsidP="002C1139">
      <w:pPr>
        <w:tabs>
          <w:tab w:val="left" w:pos="7260"/>
        </w:tabs>
        <w:spacing w:before="240" w:after="240"/>
        <w:jc w:val="both"/>
        <w:rPr>
          <w:rFonts w:ascii="Montserrat" w:eastAsia="Times New Roman" w:hAnsi="Montserrat" w:cs="Arial"/>
          <w:b/>
          <w:bCs/>
        </w:rPr>
      </w:pPr>
      <w:r w:rsidRPr="007E0E5E">
        <w:rPr>
          <w:rFonts w:ascii="Montserrat" w:eastAsia="Times New Roman" w:hAnsi="Montserrat" w:cs="Arial"/>
          <w:b/>
          <w:bCs/>
        </w:rPr>
        <w:lastRenderedPageBreak/>
        <w:t xml:space="preserve">HR RATINGS (noviembre 06, 2024).  </w:t>
      </w:r>
    </w:p>
    <w:p w14:paraId="06052FBB"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HR Ratings revisó al alza la calificación soberana del Estado de Oaxaca, de HR A+ a HR AA- con Perspectiva Estable. Es una buena nota que refrenda los resultados de las gestiones realizadas durante el periodo 2023 y primer semestre de 2024. La opinión de la calificadora se concreta en los siguientes términos:</w:t>
      </w:r>
    </w:p>
    <w:p w14:paraId="25339206" w14:textId="24E4C75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“La revisión al alza obedece a una reducción observada y estimada en el nivel de Deuda Neta Ajustada (DNA) del Estado como resultado de una adecuada posición de liquidez, así como a una tendencia positiva en la generación de Ingresos de Libre Disposición (</w:t>
      </w:r>
      <w:proofErr w:type="spellStart"/>
      <w:r w:rsidRPr="002C1139">
        <w:rPr>
          <w:rFonts w:ascii="Montserrat" w:eastAsia="Times New Roman" w:hAnsi="Montserrat" w:cs="Arial"/>
        </w:rPr>
        <w:t>ILD</w:t>
      </w:r>
      <w:proofErr w:type="spellEnd"/>
      <w:r w:rsidRPr="002C1139">
        <w:rPr>
          <w:rFonts w:ascii="Montserrat" w:eastAsia="Times New Roman" w:hAnsi="Montserrat" w:cs="Arial"/>
        </w:rPr>
        <w:t xml:space="preserve">). Para los próximos años, se espera que se mantenga un crecimiento en los </w:t>
      </w:r>
      <w:proofErr w:type="spellStart"/>
      <w:r w:rsidRPr="002C1139">
        <w:rPr>
          <w:rFonts w:ascii="Montserrat" w:eastAsia="Times New Roman" w:hAnsi="Montserrat" w:cs="Arial"/>
        </w:rPr>
        <w:t>ILD</w:t>
      </w:r>
      <w:proofErr w:type="spellEnd"/>
      <w:r w:rsidRPr="002C1139">
        <w:rPr>
          <w:rFonts w:ascii="Montserrat" w:eastAsia="Times New Roman" w:hAnsi="Montserrat" w:cs="Arial"/>
        </w:rPr>
        <w:t xml:space="preserve">, en línea con un comportamiento esperado de las Participaciones Federales, aunado a diversas acciones de fiscalización en donde se destaca una mayor vigilancia en el cobro de contribuyentes rezagados por medio del envío de cartas invitación, así como a la expectativa de que se lleve a cabo un proceso de reemplazamiento.”  HR estima que, con estas medias programadas, el Estado contará con una liquidez para no contratar financiamiento a corto plazo. </w:t>
      </w:r>
    </w:p>
    <w:p w14:paraId="2B5BE6F6"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Factores que podrían subir la calificación:</w:t>
      </w:r>
    </w:p>
    <w:p w14:paraId="7FB83B50" w14:textId="77777777" w:rsidR="002C1139" w:rsidRPr="007E0E5E" w:rsidRDefault="002C1139" w:rsidP="007E0E5E">
      <w:pPr>
        <w:pStyle w:val="Prrafodelista"/>
        <w:numPr>
          <w:ilvl w:val="0"/>
          <w:numId w:val="30"/>
        </w:numPr>
        <w:tabs>
          <w:tab w:val="left" w:pos="7260"/>
        </w:tabs>
        <w:spacing w:before="240" w:after="240"/>
        <w:jc w:val="both"/>
        <w:rPr>
          <w:rFonts w:ascii="Montserrat" w:eastAsia="Times New Roman" w:hAnsi="Montserrat" w:cs="Arial"/>
        </w:rPr>
      </w:pPr>
      <w:r w:rsidRPr="007E0E5E">
        <w:rPr>
          <w:rFonts w:ascii="Montserrat" w:eastAsia="Times New Roman" w:hAnsi="Montserrat" w:cs="Arial"/>
        </w:rPr>
        <w:t>Reducción del endeudamiento relativo. Un aumento superior a lo estimado en los Ingresos de Libre Dispersión (</w:t>
      </w:r>
      <w:proofErr w:type="spellStart"/>
      <w:r w:rsidRPr="007E0E5E">
        <w:rPr>
          <w:rFonts w:ascii="Montserrat" w:eastAsia="Times New Roman" w:hAnsi="Montserrat" w:cs="Arial"/>
        </w:rPr>
        <w:t>IDL</w:t>
      </w:r>
      <w:proofErr w:type="spellEnd"/>
      <w:r w:rsidRPr="007E0E5E">
        <w:rPr>
          <w:rFonts w:ascii="Montserrat" w:eastAsia="Times New Roman" w:hAnsi="Montserrat" w:cs="Arial"/>
        </w:rPr>
        <w:t xml:space="preserve">) y/o un menos Gasto Corriente podría reflejarse en un resultado fiscal superior al proyectado. Además, podría mejorar la calificación si la Deuda Neta Ajusta en función al Ingreso de Libre Disposición se redujera menor del 30.00 %. Para 2024 es 39.6 %. </w:t>
      </w:r>
    </w:p>
    <w:p w14:paraId="77D76B11"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Factores que podrían bajar la calificación:</w:t>
      </w:r>
    </w:p>
    <w:p w14:paraId="1E33629D" w14:textId="77777777" w:rsidR="002C1139" w:rsidRPr="007E0E5E" w:rsidRDefault="002C1139" w:rsidP="007E0E5E">
      <w:pPr>
        <w:pStyle w:val="Prrafodelista"/>
        <w:numPr>
          <w:ilvl w:val="0"/>
          <w:numId w:val="30"/>
        </w:numPr>
        <w:tabs>
          <w:tab w:val="left" w:pos="7260"/>
        </w:tabs>
        <w:spacing w:before="240" w:after="240"/>
        <w:jc w:val="both"/>
        <w:rPr>
          <w:rFonts w:ascii="Montserrat" w:eastAsia="Times New Roman" w:hAnsi="Montserrat" w:cs="Arial"/>
        </w:rPr>
      </w:pPr>
      <w:r w:rsidRPr="007E0E5E">
        <w:rPr>
          <w:rFonts w:ascii="Montserrat" w:eastAsia="Times New Roman" w:hAnsi="Montserrat" w:cs="Arial"/>
        </w:rPr>
        <w:t>En caso de que se registre un déficit fiscal superior a lo esperado por una reducción de los Ingresos Libre Dispersión o un mayor Gasto Corriente, que afectaría la liquidez que llegaría a cubrirse con la contratación de financiamiento a corto plazo y al incremento del pasivo circulante. Resultados fiscales inferiores y un aumento en las métricas de endeudamiento. Una reducción de los Ingresos. La métrica PC/</w:t>
      </w:r>
      <w:proofErr w:type="spellStart"/>
      <w:r w:rsidRPr="007E0E5E">
        <w:rPr>
          <w:rFonts w:ascii="Montserrat" w:eastAsia="Times New Roman" w:hAnsi="Montserrat" w:cs="Arial"/>
        </w:rPr>
        <w:t>ILD</w:t>
      </w:r>
      <w:proofErr w:type="spellEnd"/>
      <w:r w:rsidRPr="007E0E5E">
        <w:rPr>
          <w:rFonts w:ascii="Montserrat" w:eastAsia="Times New Roman" w:hAnsi="Montserrat" w:cs="Arial"/>
        </w:rPr>
        <w:t xml:space="preserve"> se mayor del 28.0 %. Para 2024 se espera un promedio de 13.7 %.</w:t>
      </w:r>
    </w:p>
    <w:p w14:paraId="420C2B3B" w14:textId="77777777" w:rsidR="00C643E7" w:rsidRDefault="00C643E7">
      <w:pPr>
        <w:rPr>
          <w:rFonts w:ascii="Montserrat" w:eastAsia="Times New Roman" w:hAnsi="Montserrat" w:cs="Arial"/>
          <w:b/>
          <w:bCs/>
        </w:rPr>
      </w:pPr>
      <w:r>
        <w:rPr>
          <w:rFonts w:ascii="Montserrat" w:eastAsia="Times New Roman" w:hAnsi="Montserrat" w:cs="Arial"/>
          <w:b/>
          <w:bCs/>
        </w:rPr>
        <w:br w:type="page"/>
      </w:r>
    </w:p>
    <w:p w14:paraId="345AE931" w14:textId="25622AAE" w:rsidR="002C1139" w:rsidRPr="007E0E5E" w:rsidRDefault="002C1139" w:rsidP="002C1139">
      <w:pPr>
        <w:tabs>
          <w:tab w:val="left" w:pos="7260"/>
        </w:tabs>
        <w:spacing w:before="240" w:after="240"/>
        <w:jc w:val="both"/>
        <w:rPr>
          <w:rFonts w:ascii="Montserrat" w:eastAsia="Times New Roman" w:hAnsi="Montserrat" w:cs="Arial"/>
          <w:b/>
          <w:bCs/>
        </w:rPr>
      </w:pPr>
      <w:r w:rsidRPr="007E0E5E">
        <w:rPr>
          <w:rFonts w:ascii="Montserrat" w:eastAsia="Times New Roman" w:hAnsi="Montserrat" w:cs="Arial"/>
          <w:b/>
          <w:bCs/>
        </w:rPr>
        <w:lastRenderedPageBreak/>
        <w:t>MOODY'S (noviembre 28, 2024).</w:t>
      </w:r>
    </w:p>
    <w:p w14:paraId="1EB0D392" w14:textId="77777777" w:rsidR="002C1139" w:rsidRPr="002C1139" w:rsidRDefault="002C1139" w:rsidP="00C643E7">
      <w:pPr>
        <w:tabs>
          <w:tab w:val="left" w:pos="7260"/>
        </w:tabs>
        <w:spacing w:before="200" w:after="200"/>
        <w:jc w:val="both"/>
        <w:rPr>
          <w:rFonts w:ascii="Montserrat" w:eastAsia="Times New Roman" w:hAnsi="Montserrat" w:cs="Arial"/>
        </w:rPr>
      </w:pPr>
      <w:r w:rsidRPr="002C1139">
        <w:rPr>
          <w:rFonts w:ascii="Montserrat" w:eastAsia="Times New Roman" w:hAnsi="Montserrat" w:cs="Arial"/>
        </w:rPr>
        <w:t>La agencia calificadora Moody's, ratifica la calificación de riesgo crediticio de la deuda del estado de Oaxaca de A-</w:t>
      </w:r>
      <w:proofErr w:type="spellStart"/>
      <w:r w:rsidRPr="002C1139">
        <w:rPr>
          <w:rFonts w:ascii="Montserrat" w:eastAsia="Times New Roman" w:hAnsi="Montserrat" w:cs="Arial"/>
        </w:rPr>
        <w:t>mx</w:t>
      </w:r>
      <w:proofErr w:type="spellEnd"/>
      <w:r w:rsidRPr="002C1139">
        <w:rPr>
          <w:rFonts w:ascii="Montserrat" w:eastAsia="Times New Roman" w:hAnsi="Montserrat" w:cs="Arial"/>
        </w:rPr>
        <w:t xml:space="preserve">. con la Perspectiva a Estable. </w:t>
      </w:r>
    </w:p>
    <w:p w14:paraId="2944B47E" w14:textId="48604BE6" w:rsidR="002C1139" w:rsidRPr="002C1139" w:rsidRDefault="002C1139" w:rsidP="00C643E7">
      <w:pPr>
        <w:tabs>
          <w:tab w:val="left" w:pos="7260"/>
        </w:tabs>
        <w:spacing w:before="200" w:after="200"/>
        <w:jc w:val="both"/>
        <w:rPr>
          <w:rFonts w:ascii="Montserrat" w:eastAsia="Times New Roman" w:hAnsi="Montserrat" w:cs="Arial"/>
        </w:rPr>
      </w:pPr>
      <w:r w:rsidRPr="002C1139">
        <w:rPr>
          <w:rFonts w:ascii="Montserrat" w:eastAsia="Times New Roman" w:hAnsi="Montserrat" w:cs="Arial"/>
        </w:rPr>
        <w:t xml:space="preserve">Moody´s confirma la calificación del Estado de Oaxaca, porque refleja una mejora en los balances operativos y financieros observada durante los últimos ejercicios, la cual ha conducido a un fortalecimiento en liquidez y en el perfil de la deuda. Hace la observación positiva sobre la tendencia hacia la baja de la deuda pública con la eliminación de uso de la deuda de corto. </w:t>
      </w:r>
    </w:p>
    <w:p w14:paraId="4BCD13F6" w14:textId="77777777" w:rsidR="002C1139" w:rsidRPr="007E0E5E" w:rsidRDefault="002C1139" w:rsidP="002C1139">
      <w:pPr>
        <w:tabs>
          <w:tab w:val="left" w:pos="7260"/>
        </w:tabs>
        <w:spacing w:before="240" w:after="240"/>
        <w:jc w:val="both"/>
        <w:rPr>
          <w:rFonts w:ascii="Montserrat" w:eastAsia="Times New Roman" w:hAnsi="Montserrat" w:cs="Arial"/>
          <w:b/>
          <w:bCs/>
        </w:rPr>
      </w:pPr>
      <w:r w:rsidRPr="007E0E5E">
        <w:rPr>
          <w:rFonts w:ascii="Montserrat" w:eastAsia="Times New Roman" w:hAnsi="Montserrat" w:cs="Arial"/>
          <w:b/>
          <w:bCs/>
        </w:rPr>
        <w:t>Fortalezas crediticias:</w:t>
      </w:r>
    </w:p>
    <w:p w14:paraId="15839FD2" w14:textId="77777777" w:rsidR="002C1139" w:rsidRPr="007E0E5E" w:rsidRDefault="002C1139" w:rsidP="00C643E7">
      <w:pPr>
        <w:pStyle w:val="Prrafodelista"/>
        <w:numPr>
          <w:ilvl w:val="0"/>
          <w:numId w:val="30"/>
        </w:numPr>
        <w:tabs>
          <w:tab w:val="left" w:pos="7260"/>
        </w:tabs>
        <w:spacing w:before="200" w:after="200"/>
        <w:ind w:left="714" w:hanging="357"/>
        <w:jc w:val="both"/>
        <w:rPr>
          <w:rFonts w:ascii="Montserrat" w:eastAsia="Times New Roman" w:hAnsi="Montserrat" w:cs="Arial"/>
        </w:rPr>
      </w:pPr>
      <w:r w:rsidRPr="007E0E5E">
        <w:rPr>
          <w:rFonts w:ascii="Montserrat" w:eastAsia="Times New Roman" w:hAnsi="Montserrat" w:cs="Arial"/>
        </w:rPr>
        <w:t>Posición de liquidez.</w:t>
      </w:r>
    </w:p>
    <w:p w14:paraId="7596F62E" w14:textId="77777777" w:rsidR="002C1139" w:rsidRPr="007E0E5E" w:rsidRDefault="002C1139" w:rsidP="00C643E7">
      <w:pPr>
        <w:pStyle w:val="Prrafodelista"/>
        <w:numPr>
          <w:ilvl w:val="0"/>
          <w:numId w:val="30"/>
        </w:numPr>
        <w:tabs>
          <w:tab w:val="left" w:pos="7260"/>
        </w:tabs>
        <w:spacing w:before="200" w:after="200"/>
        <w:ind w:left="714" w:hanging="357"/>
        <w:jc w:val="both"/>
        <w:rPr>
          <w:rFonts w:ascii="Montserrat" w:eastAsia="Times New Roman" w:hAnsi="Montserrat" w:cs="Arial"/>
        </w:rPr>
      </w:pPr>
      <w:r w:rsidRPr="007E0E5E">
        <w:rPr>
          <w:rFonts w:ascii="Montserrat" w:eastAsia="Times New Roman" w:hAnsi="Montserrat" w:cs="Arial"/>
        </w:rPr>
        <w:t>Mejora en el perfil de endeudamiento.</w:t>
      </w:r>
    </w:p>
    <w:p w14:paraId="3B6F3A13" w14:textId="77777777" w:rsidR="002C1139" w:rsidRPr="007E0E5E" w:rsidRDefault="002C1139" w:rsidP="00C643E7">
      <w:pPr>
        <w:pStyle w:val="Prrafodelista"/>
        <w:numPr>
          <w:ilvl w:val="0"/>
          <w:numId w:val="30"/>
        </w:numPr>
        <w:tabs>
          <w:tab w:val="left" w:pos="7260"/>
        </w:tabs>
        <w:spacing w:before="200" w:after="200"/>
        <w:ind w:left="714" w:hanging="357"/>
        <w:jc w:val="both"/>
        <w:rPr>
          <w:rFonts w:ascii="Montserrat" w:eastAsia="Times New Roman" w:hAnsi="Montserrat" w:cs="Arial"/>
        </w:rPr>
      </w:pPr>
      <w:r w:rsidRPr="007E0E5E">
        <w:rPr>
          <w:rFonts w:ascii="Montserrat" w:eastAsia="Times New Roman" w:hAnsi="Montserrat" w:cs="Arial"/>
        </w:rPr>
        <w:t>Márgenes operativos positivos.</w:t>
      </w:r>
    </w:p>
    <w:p w14:paraId="3513AC04" w14:textId="77777777" w:rsidR="002C1139" w:rsidRPr="007E0E5E" w:rsidRDefault="002C1139" w:rsidP="002C1139">
      <w:pPr>
        <w:tabs>
          <w:tab w:val="left" w:pos="7260"/>
        </w:tabs>
        <w:spacing w:before="240" w:after="240"/>
        <w:jc w:val="both"/>
        <w:rPr>
          <w:rFonts w:ascii="Montserrat" w:eastAsia="Times New Roman" w:hAnsi="Montserrat" w:cs="Arial"/>
          <w:b/>
          <w:bCs/>
        </w:rPr>
      </w:pPr>
      <w:r w:rsidRPr="007E0E5E">
        <w:rPr>
          <w:rFonts w:ascii="Montserrat" w:eastAsia="Times New Roman" w:hAnsi="Montserrat" w:cs="Arial"/>
          <w:b/>
          <w:bCs/>
        </w:rPr>
        <w:t>Debilidades crediticias:</w:t>
      </w:r>
    </w:p>
    <w:p w14:paraId="4EBAE95F" w14:textId="77777777" w:rsidR="002C1139" w:rsidRPr="007E0E5E" w:rsidRDefault="002C1139" w:rsidP="00C643E7">
      <w:pPr>
        <w:pStyle w:val="Prrafodelista"/>
        <w:numPr>
          <w:ilvl w:val="0"/>
          <w:numId w:val="30"/>
        </w:numPr>
        <w:tabs>
          <w:tab w:val="left" w:pos="7260"/>
        </w:tabs>
        <w:spacing w:before="200" w:after="200"/>
        <w:ind w:left="714" w:hanging="357"/>
        <w:jc w:val="both"/>
        <w:rPr>
          <w:rFonts w:ascii="Montserrat" w:eastAsia="Times New Roman" w:hAnsi="Montserrat" w:cs="Arial"/>
        </w:rPr>
      </w:pPr>
      <w:r w:rsidRPr="007E0E5E">
        <w:rPr>
          <w:rFonts w:ascii="Montserrat" w:eastAsia="Times New Roman" w:hAnsi="Montserrat" w:cs="Arial"/>
        </w:rPr>
        <w:t>Baja recaudación de ingresos propios.</w:t>
      </w:r>
    </w:p>
    <w:p w14:paraId="7397CC22" w14:textId="77777777" w:rsidR="002C1139" w:rsidRPr="007E0E5E" w:rsidRDefault="002C1139" w:rsidP="00C643E7">
      <w:pPr>
        <w:pStyle w:val="Prrafodelista"/>
        <w:numPr>
          <w:ilvl w:val="0"/>
          <w:numId w:val="30"/>
        </w:numPr>
        <w:tabs>
          <w:tab w:val="left" w:pos="7260"/>
        </w:tabs>
        <w:spacing w:before="200" w:after="200"/>
        <w:ind w:left="714" w:hanging="357"/>
        <w:jc w:val="both"/>
        <w:rPr>
          <w:rFonts w:ascii="Montserrat" w:eastAsia="Times New Roman" w:hAnsi="Montserrat" w:cs="Arial"/>
        </w:rPr>
      </w:pPr>
      <w:r w:rsidRPr="007E0E5E">
        <w:rPr>
          <w:rFonts w:ascii="Montserrat" w:eastAsia="Times New Roman" w:hAnsi="Montserrat" w:cs="Arial"/>
        </w:rPr>
        <w:t>Pasivos no fondeados por pensiones y otros adeudos.</w:t>
      </w:r>
    </w:p>
    <w:p w14:paraId="217F2066" w14:textId="77777777" w:rsidR="002C1139" w:rsidRPr="007E0E5E" w:rsidRDefault="002C1139" w:rsidP="00C643E7">
      <w:pPr>
        <w:pStyle w:val="Prrafodelista"/>
        <w:numPr>
          <w:ilvl w:val="0"/>
          <w:numId w:val="30"/>
        </w:numPr>
        <w:tabs>
          <w:tab w:val="left" w:pos="7260"/>
        </w:tabs>
        <w:spacing w:before="200" w:after="200"/>
        <w:ind w:left="714" w:hanging="357"/>
        <w:jc w:val="both"/>
        <w:rPr>
          <w:rFonts w:ascii="Montserrat" w:eastAsia="Times New Roman" w:hAnsi="Montserrat" w:cs="Arial"/>
        </w:rPr>
      </w:pPr>
      <w:r w:rsidRPr="007E0E5E">
        <w:rPr>
          <w:rFonts w:ascii="Montserrat" w:eastAsia="Times New Roman" w:hAnsi="Montserrat" w:cs="Arial"/>
        </w:rPr>
        <w:t>Presiones en el gasto social y el gasto de capital.</w:t>
      </w:r>
    </w:p>
    <w:p w14:paraId="250AC033" w14:textId="77777777" w:rsidR="002C1139" w:rsidRPr="007E0E5E" w:rsidRDefault="002C1139" w:rsidP="002C1139">
      <w:pPr>
        <w:tabs>
          <w:tab w:val="left" w:pos="7260"/>
        </w:tabs>
        <w:spacing w:before="240" w:after="240"/>
        <w:jc w:val="both"/>
        <w:rPr>
          <w:rFonts w:ascii="Montserrat" w:eastAsia="Times New Roman" w:hAnsi="Montserrat" w:cs="Arial"/>
          <w:b/>
          <w:bCs/>
        </w:rPr>
      </w:pPr>
      <w:r w:rsidRPr="007E0E5E">
        <w:rPr>
          <w:rFonts w:ascii="Montserrat" w:eastAsia="Times New Roman" w:hAnsi="Montserrat" w:cs="Arial"/>
          <w:b/>
          <w:bCs/>
        </w:rPr>
        <w:t>Factores que pueden generar una mejora de la calificación:</w:t>
      </w:r>
    </w:p>
    <w:p w14:paraId="287C2185" w14:textId="77777777" w:rsidR="002C1139" w:rsidRPr="007E0E5E" w:rsidRDefault="002C1139" w:rsidP="00C643E7">
      <w:pPr>
        <w:pStyle w:val="Prrafodelista"/>
        <w:numPr>
          <w:ilvl w:val="0"/>
          <w:numId w:val="30"/>
        </w:numPr>
        <w:tabs>
          <w:tab w:val="left" w:pos="7260"/>
        </w:tabs>
        <w:spacing w:before="200" w:after="200"/>
        <w:ind w:left="714" w:hanging="357"/>
        <w:jc w:val="both"/>
        <w:rPr>
          <w:rFonts w:ascii="Montserrat" w:eastAsia="Times New Roman" w:hAnsi="Montserrat" w:cs="Arial"/>
        </w:rPr>
      </w:pPr>
      <w:r w:rsidRPr="007E0E5E">
        <w:rPr>
          <w:rFonts w:ascii="Montserrat" w:eastAsia="Times New Roman" w:hAnsi="Montserrat" w:cs="Arial"/>
        </w:rPr>
        <w:t>Fortalecimiento de balances operativos y financieros.</w:t>
      </w:r>
    </w:p>
    <w:p w14:paraId="3D1EBF9C" w14:textId="77777777" w:rsidR="002C1139" w:rsidRPr="007E0E5E" w:rsidRDefault="002C1139" w:rsidP="00C643E7">
      <w:pPr>
        <w:pStyle w:val="Prrafodelista"/>
        <w:numPr>
          <w:ilvl w:val="0"/>
          <w:numId w:val="30"/>
        </w:numPr>
        <w:tabs>
          <w:tab w:val="left" w:pos="7260"/>
        </w:tabs>
        <w:spacing w:before="200" w:after="200"/>
        <w:ind w:left="714" w:hanging="357"/>
        <w:jc w:val="both"/>
        <w:rPr>
          <w:rFonts w:ascii="Montserrat" w:eastAsia="Times New Roman" w:hAnsi="Montserrat" w:cs="Arial"/>
        </w:rPr>
      </w:pPr>
      <w:r w:rsidRPr="007E0E5E">
        <w:rPr>
          <w:rFonts w:ascii="Montserrat" w:eastAsia="Times New Roman" w:hAnsi="Montserrat" w:cs="Arial"/>
        </w:rPr>
        <w:t>Eliminación de adeudos con el gobierno federal.</w:t>
      </w:r>
    </w:p>
    <w:p w14:paraId="5FA9AAC6" w14:textId="77777777" w:rsidR="002C1139" w:rsidRPr="007E0E5E" w:rsidRDefault="002C1139" w:rsidP="00C643E7">
      <w:pPr>
        <w:pStyle w:val="Prrafodelista"/>
        <w:numPr>
          <w:ilvl w:val="0"/>
          <w:numId w:val="30"/>
        </w:numPr>
        <w:tabs>
          <w:tab w:val="left" w:pos="7260"/>
        </w:tabs>
        <w:spacing w:before="200" w:after="200"/>
        <w:ind w:left="714" w:hanging="357"/>
        <w:jc w:val="both"/>
        <w:rPr>
          <w:rFonts w:ascii="Montserrat" w:eastAsia="Times New Roman" w:hAnsi="Montserrat" w:cs="Arial"/>
        </w:rPr>
      </w:pPr>
      <w:r w:rsidRPr="007E0E5E">
        <w:rPr>
          <w:rFonts w:ascii="Montserrat" w:eastAsia="Times New Roman" w:hAnsi="Montserrat" w:cs="Arial"/>
        </w:rPr>
        <w:t>Mantener el saldo de deuda de corto plazo en cero.</w:t>
      </w:r>
    </w:p>
    <w:p w14:paraId="0B094560" w14:textId="77777777" w:rsidR="002C1139" w:rsidRPr="007E0E5E" w:rsidRDefault="002C1139" w:rsidP="002C1139">
      <w:pPr>
        <w:tabs>
          <w:tab w:val="left" w:pos="7260"/>
        </w:tabs>
        <w:spacing w:before="240" w:after="240"/>
        <w:jc w:val="both"/>
        <w:rPr>
          <w:rFonts w:ascii="Montserrat" w:eastAsia="Times New Roman" w:hAnsi="Montserrat" w:cs="Arial"/>
          <w:b/>
          <w:bCs/>
        </w:rPr>
      </w:pPr>
      <w:r w:rsidRPr="007E0E5E">
        <w:rPr>
          <w:rFonts w:ascii="Montserrat" w:eastAsia="Times New Roman" w:hAnsi="Montserrat" w:cs="Arial"/>
          <w:b/>
          <w:bCs/>
        </w:rPr>
        <w:t>Factores que pueden generar un deterioro de la calificación:</w:t>
      </w:r>
    </w:p>
    <w:p w14:paraId="7DB72660" w14:textId="77777777" w:rsidR="002C1139" w:rsidRPr="007E0E5E" w:rsidRDefault="002C1139" w:rsidP="00C643E7">
      <w:pPr>
        <w:pStyle w:val="Prrafodelista"/>
        <w:numPr>
          <w:ilvl w:val="0"/>
          <w:numId w:val="30"/>
        </w:numPr>
        <w:tabs>
          <w:tab w:val="left" w:pos="7260"/>
        </w:tabs>
        <w:spacing w:before="200" w:after="200"/>
        <w:ind w:left="714" w:hanging="357"/>
        <w:jc w:val="both"/>
        <w:rPr>
          <w:rFonts w:ascii="Montserrat" w:eastAsia="Times New Roman" w:hAnsi="Montserrat" w:cs="Arial"/>
        </w:rPr>
      </w:pPr>
      <w:r w:rsidRPr="007E0E5E">
        <w:rPr>
          <w:rFonts w:ascii="Montserrat" w:eastAsia="Times New Roman" w:hAnsi="Montserrat" w:cs="Arial"/>
        </w:rPr>
        <w:t>Un deterioro mayor al respecto en los resultados operativos y financieros.</w:t>
      </w:r>
    </w:p>
    <w:p w14:paraId="76481B0C" w14:textId="77777777" w:rsidR="002C1139" w:rsidRPr="007E0E5E" w:rsidRDefault="002C1139" w:rsidP="00C643E7">
      <w:pPr>
        <w:pStyle w:val="Prrafodelista"/>
        <w:numPr>
          <w:ilvl w:val="0"/>
          <w:numId w:val="30"/>
        </w:numPr>
        <w:tabs>
          <w:tab w:val="left" w:pos="7260"/>
        </w:tabs>
        <w:spacing w:before="200" w:after="200"/>
        <w:ind w:left="714" w:hanging="357"/>
        <w:jc w:val="both"/>
        <w:rPr>
          <w:rFonts w:ascii="Montserrat" w:eastAsia="Times New Roman" w:hAnsi="Montserrat" w:cs="Arial"/>
        </w:rPr>
      </w:pPr>
      <w:r w:rsidRPr="007E0E5E">
        <w:rPr>
          <w:rFonts w:ascii="Montserrat" w:eastAsia="Times New Roman" w:hAnsi="Montserrat" w:cs="Arial"/>
        </w:rPr>
        <w:t>Una fuerte caída en la posición de liquidez.</w:t>
      </w:r>
    </w:p>
    <w:p w14:paraId="47428409" w14:textId="77777777" w:rsidR="002C1139" w:rsidRPr="007E0E5E" w:rsidRDefault="002C1139" w:rsidP="00C643E7">
      <w:pPr>
        <w:pStyle w:val="Prrafodelista"/>
        <w:numPr>
          <w:ilvl w:val="0"/>
          <w:numId w:val="30"/>
        </w:numPr>
        <w:tabs>
          <w:tab w:val="left" w:pos="7260"/>
        </w:tabs>
        <w:spacing w:before="200" w:after="200"/>
        <w:ind w:left="714" w:hanging="357"/>
        <w:jc w:val="both"/>
        <w:rPr>
          <w:rFonts w:ascii="Montserrat" w:eastAsia="Times New Roman" w:hAnsi="Montserrat" w:cs="Arial"/>
        </w:rPr>
      </w:pPr>
      <w:r w:rsidRPr="007E0E5E">
        <w:rPr>
          <w:rFonts w:ascii="Montserrat" w:eastAsia="Times New Roman" w:hAnsi="Montserrat" w:cs="Arial"/>
        </w:rPr>
        <w:t>Contratación de deuda de corto plazo.</w:t>
      </w:r>
    </w:p>
    <w:p w14:paraId="5DD01DAB" w14:textId="77777777" w:rsidR="002C1139" w:rsidRPr="007E0E5E" w:rsidRDefault="002C1139" w:rsidP="002C1139">
      <w:pPr>
        <w:tabs>
          <w:tab w:val="left" w:pos="7260"/>
        </w:tabs>
        <w:spacing w:before="240" w:after="240"/>
        <w:jc w:val="both"/>
        <w:rPr>
          <w:rFonts w:ascii="Montserrat" w:eastAsia="Times New Roman" w:hAnsi="Montserrat" w:cs="Arial"/>
          <w:b/>
          <w:bCs/>
        </w:rPr>
      </w:pPr>
      <w:r w:rsidRPr="007E0E5E">
        <w:rPr>
          <w:rFonts w:ascii="Montserrat" w:eastAsia="Times New Roman" w:hAnsi="Montserrat" w:cs="Arial"/>
          <w:b/>
          <w:bCs/>
        </w:rPr>
        <w:t>Perspectivas:</w:t>
      </w:r>
    </w:p>
    <w:p w14:paraId="1E5ECFA3"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 xml:space="preserve">“la perspectiva de la calificación es estable y refleja nuestra expectativa de que Oaxaca reportará una reducción en sus resultados operativos y que los mismos se mantendrán positivos, déficits financieros limitados y un </w:t>
      </w:r>
      <w:r w:rsidRPr="002C1139">
        <w:rPr>
          <w:rFonts w:ascii="Montserrat" w:eastAsia="Times New Roman" w:hAnsi="Montserrat" w:cs="Arial"/>
        </w:rPr>
        <w:lastRenderedPageBreak/>
        <w:t>controlado descenso en la liquidez, sin necesidad de contratar deuda a corto plazo.” (Moody’s).</w:t>
      </w:r>
    </w:p>
    <w:p w14:paraId="45568010" w14:textId="77777777" w:rsidR="002C1139" w:rsidRPr="007E0E5E" w:rsidRDefault="002C1139" w:rsidP="002C1139">
      <w:pPr>
        <w:tabs>
          <w:tab w:val="left" w:pos="7260"/>
        </w:tabs>
        <w:spacing w:before="240" w:after="240"/>
        <w:jc w:val="both"/>
        <w:rPr>
          <w:rFonts w:ascii="Montserrat" w:eastAsia="Times New Roman" w:hAnsi="Montserrat" w:cs="Arial"/>
          <w:b/>
          <w:bCs/>
        </w:rPr>
      </w:pPr>
      <w:r w:rsidRPr="007E0E5E">
        <w:rPr>
          <w:rFonts w:ascii="Montserrat" w:eastAsia="Times New Roman" w:hAnsi="Montserrat" w:cs="Arial"/>
          <w:b/>
          <w:bCs/>
        </w:rPr>
        <w:t>STANDARD &amp; POOR’S (septiembre 23, 2024)</w:t>
      </w:r>
    </w:p>
    <w:p w14:paraId="02430686"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 xml:space="preserve">La Institución Calificadora de Valores Standard &amp; Poor’s Global </w:t>
      </w:r>
      <w:proofErr w:type="spellStart"/>
      <w:r w:rsidRPr="002C1139">
        <w:rPr>
          <w:rFonts w:ascii="Montserrat" w:eastAsia="Times New Roman" w:hAnsi="Montserrat" w:cs="Arial"/>
        </w:rPr>
        <w:t>Rantings</w:t>
      </w:r>
      <w:proofErr w:type="spellEnd"/>
      <w:r w:rsidRPr="002C1139">
        <w:rPr>
          <w:rFonts w:ascii="Montserrat" w:eastAsia="Times New Roman" w:hAnsi="Montserrat" w:cs="Arial"/>
        </w:rPr>
        <w:t>, en esta reciente revisión 2024, confirmó la calificación para el Estado de Oaxaca a ‘mxA‘, así mismo, la Perspectiva la mantiene en Estable. Esta notificación, robustece la confianza crediticia hacia el Estado.</w:t>
      </w:r>
    </w:p>
    <w:p w14:paraId="0DF5E283" w14:textId="3A5AF8B5" w:rsidR="002C1139" w:rsidRPr="002C1139" w:rsidRDefault="002C1139" w:rsidP="007E0E5E">
      <w:pPr>
        <w:tabs>
          <w:tab w:val="left" w:pos="3151"/>
        </w:tabs>
        <w:spacing w:before="240" w:after="240"/>
        <w:jc w:val="both"/>
        <w:rPr>
          <w:rFonts w:ascii="Montserrat" w:eastAsia="Times New Roman" w:hAnsi="Montserrat" w:cs="Arial"/>
        </w:rPr>
      </w:pPr>
      <w:r w:rsidRPr="002C1139">
        <w:rPr>
          <w:rFonts w:ascii="Montserrat" w:eastAsia="Times New Roman" w:hAnsi="Montserrat" w:cs="Arial"/>
        </w:rPr>
        <w:t>La institución calificadora fundamenta su criterio de ratificar la calificación crediticia del Estado de Oaxaca, considerando los siguientes aspectos: la presente administración financiera mantendrá resultados fiscales balanceados, que limitaría las necesidades de financiamiento a corto plazo, el impacto positivo de los proyectos que ejecute el gobierno federal en la economía general y en los ingresos locales mediante transferencias federales. Así mismo, contempla que esta administración manga sus niveles bajos de endeudamiento. La dependencia de las transferencias federales de gasto se mantendrá relativamente altas y la posición de liquidez del estado está sujeta a volatilidad. La ratificación de la calificación, la calificadora incorpora el nivel de un perfil socioeconómico más débil comparado con el promedio nacional.</w:t>
      </w:r>
    </w:p>
    <w:p w14:paraId="60EF92D8"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En un escenario para que diera pauta que la calificadora llegara a bajar la calificación sería que el desempeño presupuestal se llega deteriorar debido a una presión del gasto mayor a la esperada o menor dinamismo de los ingresos, que llegara a derivar u déficits después de gasto de inversión mayores a 5 % de sus ingresos totales que provocaría un deterioro marcado en la posición financiera de liquidez o a requerir a la contratación de un financiamiento a corto plazo.</w:t>
      </w:r>
    </w:p>
    <w:p w14:paraId="1A1B5DFA"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 xml:space="preserve">Para que la calificadora tomara la decisión de subir la calificación de riesgo crediticia soberana al Estado, tendría que observar un crecimiento económico por encima del de sus pares nacionales e internacionales que llegara a tener una incidencia en mejora del ingreso per cápita. </w:t>
      </w:r>
    </w:p>
    <w:p w14:paraId="65A5D4BD" w14:textId="77777777" w:rsidR="002C1139" w:rsidRPr="007E0E5E" w:rsidRDefault="002C1139" w:rsidP="002C1139">
      <w:pPr>
        <w:tabs>
          <w:tab w:val="left" w:pos="7260"/>
        </w:tabs>
        <w:spacing w:before="240" w:after="240"/>
        <w:jc w:val="both"/>
        <w:rPr>
          <w:rFonts w:ascii="Montserrat" w:eastAsia="Times New Roman" w:hAnsi="Montserrat" w:cs="Arial"/>
          <w:b/>
          <w:bCs/>
        </w:rPr>
      </w:pPr>
      <w:r w:rsidRPr="007E0E5E">
        <w:rPr>
          <w:rFonts w:ascii="Montserrat" w:eastAsia="Times New Roman" w:hAnsi="Montserrat" w:cs="Arial"/>
          <w:b/>
          <w:bCs/>
        </w:rPr>
        <w:t>FITCH RATINGS (octubre 28, 2024).</w:t>
      </w:r>
    </w:p>
    <w:p w14:paraId="007F3737"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Fitch Ratings subió la calificación nacional de largo plazo del Estado de Oaxaca a ‘A+(mex)’ Perspectiva Positiva de ‘A (mex)’ Perspectiva Estable.</w:t>
      </w:r>
    </w:p>
    <w:p w14:paraId="6775A53C"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lastRenderedPageBreak/>
        <w:t>Esta Institución Calificadora de Valores, considera que el alza de la calificación es debido por la recuperación en el Balance Operativo (BO) observado en 2022 y 2023 consecutivamente. Además, en su observación sobre el proceso de refinanciamiento, en mejores condiciones crediticias, de la mayor parte de la de la deuda pública del estado, permitiendo mejorar la posición de liquidez del estado e inclusive cerrar el ejercicio fiscal sin contratación de deuda de corto plazo. Así mismo, permitió que las métricas del pago y cobertura real del servicio de la deuda (</w:t>
      </w:r>
      <w:proofErr w:type="spellStart"/>
      <w:r w:rsidRPr="002C1139">
        <w:rPr>
          <w:rFonts w:ascii="Montserrat" w:eastAsia="Times New Roman" w:hAnsi="Montserrat" w:cs="Arial"/>
        </w:rPr>
        <w:t>CRSD</w:t>
      </w:r>
      <w:proofErr w:type="spellEnd"/>
      <w:r w:rsidRPr="002C1139">
        <w:rPr>
          <w:rFonts w:ascii="Montserrat" w:eastAsia="Times New Roman" w:hAnsi="Montserrat" w:cs="Arial"/>
        </w:rPr>
        <w:t>) comparan en línea con entidades calificadas en ´A+(</w:t>
      </w:r>
      <w:proofErr w:type="spellStart"/>
      <w:r w:rsidRPr="002C1139">
        <w:rPr>
          <w:rFonts w:ascii="Montserrat" w:eastAsia="Times New Roman" w:hAnsi="Montserrat" w:cs="Arial"/>
        </w:rPr>
        <w:t>mx</w:t>
      </w:r>
      <w:proofErr w:type="spellEnd"/>
      <w:r w:rsidRPr="002C1139">
        <w:rPr>
          <w:rFonts w:ascii="Montserrat" w:eastAsia="Times New Roman" w:hAnsi="Montserrat" w:cs="Arial"/>
        </w:rPr>
        <w:t>)´.</w:t>
      </w:r>
    </w:p>
    <w:p w14:paraId="626B888F"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“La Perspectiva Positiva refleja la expectativa de Fitch que el desempeño financiero de la entidad se mantendrá fortalecido y, que en caso de que la liquidez siga elevada, podría derivar en revaluación del perfil del riesgo a ´Rango Medio Bajo’ desde ‘Más Débil’” Tomado textualmente por el significado de la opinión de la calificadora Fitch.</w:t>
      </w:r>
    </w:p>
    <w:p w14:paraId="2F26E83F" w14:textId="77777777" w:rsidR="002C1139" w:rsidRPr="007E0E5E" w:rsidRDefault="002C1139" w:rsidP="002C1139">
      <w:pPr>
        <w:tabs>
          <w:tab w:val="left" w:pos="7260"/>
        </w:tabs>
        <w:spacing w:before="240" w:after="240"/>
        <w:jc w:val="both"/>
        <w:rPr>
          <w:rFonts w:ascii="Montserrat" w:eastAsia="Times New Roman" w:hAnsi="Montserrat" w:cs="Arial"/>
          <w:b/>
          <w:bCs/>
        </w:rPr>
      </w:pPr>
      <w:r w:rsidRPr="007E0E5E">
        <w:rPr>
          <w:rFonts w:ascii="Montserrat" w:eastAsia="Times New Roman" w:hAnsi="Montserrat" w:cs="Arial"/>
          <w:b/>
          <w:bCs/>
        </w:rPr>
        <w:t xml:space="preserve">CONCLUSIÓN: </w:t>
      </w:r>
    </w:p>
    <w:p w14:paraId="151ADD63"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El nivel de aceptación declarado por las agencias calificadoras en su última revisión en el año 2024, es que, en este año, ha sido el mejor registro comparado con los datos históricos de hace muchos años (2005-2024).</w:t>
      </w:r>
    </w:p>
    <w:p w14:paraId="42ABDFC8"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 xml:space="preserve">Aún más, en esta revisión, de las calificadoras HR </w:t>
      </w:r>
      <w:proofErr w:type="spellStart"/>
      <w:r w:rsidRPr="002C1139">
        <w:rPr>
          <w:rFonts w:ascii="Montserrat" w:eastAsia="Times New Roman" w:hAnsi="Montserrat" w:cs="Arial"/>
        </w:rPr>
        <w:t>Rantins</w:t>
      </w:r>
      <w:proofErr w:type="spellEnd"/>
      <w:r w:rsidRPr="002C1139">
        <w:rPr>
          <w:rFonts w:ascii="Montserrat" w:eastAsia="Times New Roman" w:hAnsi="Montserrat" w:cs="Arial"/>
        </w:rPr>
        <w:t xml:space="preserve"> y Fitch </w:t>
      </w:r>
      <w:proofErr w:type="spellStart"/>
      <w:r w:rsidRPr="002C1139">
        <w:rPr>
          <w:rFonts w:ascii="Montserrat" w:eastAsia="Times New Roman" w:hAnsi="Montserrat" w:cs="Arial"/>
        </w:rPr>
        <w:t>Raintings</w:t>
      </w:r>
      <w:proofErr w:type="spellEnd"/>
      <w:r w:rsidRPr="002C1139">
        <w:rPr>
          <w:rFonts w:ascii="Montserrat" w:eastAsia="Times New Roman" w:hAnsi="Montserrat" w:cs="Arial"/>
        </w:rPr>
        <w:t xml:space="preserve">, modificaron su calificación con respecto a 2023 en siguiente nivel superior inmediato. HR </w:t>
      </w:r>
      <w:proofErr w:type="spellStart"/>
      <w:r w:rsidRPr="002C1139">
        <w:rPr>
          <w:rFonts w:ascii="Montserrat" w:eastAsia="Times New Roman" w:hAnsi="Montserrat" w:cs="Arial"/>
        </w:rPr>
        <w:t>Rantings</w:t>
      </w:r>
      <w:proofErr w:type="spellEnd"/>
      <w:r w:rsidRPr="002C1139">
        <w:rPr>
          <w:rFonts w:ascii="Montserrat" w:eastAsia="Times New Roman" w:hAnsi="Montserrat" w:cs="Arial"/>
        </w:rPr>
        <w:t xml:space="preserve"> de HR A+ a HR AA con Perspectiva Estable. Fitch </w:t>
      </w:r>
      <w:proofErr w:type="spellStart"/>
      <w:r w:rsidRPr="002C1139">
        <w:rPr>
          <w:rFonts w:ascii="Montserrat" w:eastAsia="Times New Roman" w:hAnsi="Montserrat" w:cs="Arial"/>
        </w:rPr>
        <w:t>Rantings</w:t>
      </w:r>
      <w:proofErr w:type="spellEnd"/>
      <w:r w:rsidRPr="002C1139">
        <w:rPr>
          <w:rFonts w:ascii="Montserrat" w:eastAsia="Times New Roman" w:hAnsi="Montserrat" w:cs="Arial"/>
        </w:rPr>
        <w:t xml:space="preserve"> de ‘A (mex)’ Perspectiva Estable a ‘A+(mex)’ perspectiva Positiva. </w:t>
      </w:r>
    </w:p>
    <w:p w14:paraId="70D14D6E"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 xml:space="preserve">Las cuatro agencias calificadoras en términos generales y particulares sostienen al cierre del cuarto trimestre de 2024, la opinión de que el Estado cumple con sus obligaciones financieras ante cualquier adversidad económica, social y de estrés económico. Así mismo, es relevante que sigan observando que esta administración continua con los mismos propósitos del inicio de su gobierno, de no contratar financiamientos de ningún plazo, ajustarse en el gasto e incremento del ingreso propio, puntos de lo más relevantes.   Lo antes dicho, el Estado, refrenda una buena imagen ante las instituciones financieras, inversionistas y la sociedad oaxaqueña en general. </w:t>
      </w:r>
    </w:p>
    <w:p w14:paraId="5F4081F5"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 xml:space="preserve">Se debe tener presente que las calificaciones también tienen injerencia en el servicio de la deuda, con efecto de subir o bajar el monto. La </w:t>
      </w:r>
      <w:r w:rsidRPr="002C1139">
        <w:rPr>
          <w:rFonts w:ascii="Montserrat" w:eastAsia="Times New Roman" w:hAnsi="Montserrat" w:cs="Arial"/>
        </w:rPr>
        <w:lastRenderedPageBreak/>
        <w:t>particularidad en este aspecto, el servicio de la deuda del Gobierno del Estado de Oaxaca se ha mantenido estable.</w:t>
      </w:r>
    </w:p>
    <w:p w14:paraId="7FA1A6F0" w14:textId="77777777" w:rsidR="002C1139" w:rsidRPr="002C1139" w:rsidRDefault="002C1139" w:rsidP="002C1139">
      <w:pPr>
        <w:tabs>
          <w:tab w:val="left" w:pos="7260"/>
        </w:tabs>
        <w:spacing w:before="240" w:after="240"/>
        <w:jc w:val="both"/>
        <w:rPr>
          <w:rFonts w:ascii="Montserrat" w:eastAsia="Times New Roman" w:hAnsi="Montserrat" w:cs="Arial"/>
        </w:rPr>
      </w:pPr>
      <w:r w:rsidRPr="002C1139">
        <w:rPr>
          <w:rFonts w:ascii="Montserrat" w:eastAsia="Times New Roman" w:hAnsi="Montserrat" w:cs="Arial"/>
        </w:rPr>
        <w:t>La interpretación del significado de las calificaciones es: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7B633E52" w14:textId="77777777" w:rsidR="00B0059B" w:rsidRPr="00FD2DE6" w:rsidRDefault="00B0059B" w:rsidP="00031666">
      <w:pPr>
        <w:pStyle w:val="Prrafodelista"/>
        <w:keepNext/>
        <w:widowControl w:val="0"/>
        <w:numPr>
          <w:ilvl w:val="0"/>
          <w:numId w:val="37"/>
        </w:numPr>
        <w:ind w:left="425" w:hanging="425"/>
        <w:jc w:val="both"/>
        <w:rPr>
          <w:rFonts w:ascii="Montserrat" w:hAnsi="Montserrat"/>
          <w:b/>
          <w:sz w:val="24"/>
          <w:szCs w:val="24"/>
        </w:rPr>
      </w:pPr>
      <w:r w:rsidRPr="00FD2DE6">
        <w:rPr>
          <w:rFonts w:ascii="Montserrat" w:hAnsi="Montserrat"/>
          <w:b/>
          <w:sz w:val="24"/>
          <w:szCs w:val="24"/>
        </w:rPr>
        <w:t>Proceso de Mejora</w:t>
      </w:r>
    </w:p>
    <w:p w14:paraId="295AB94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Ley Orgánica del Poder Ejecutivo indica que es responsabilidad de los titulares de las Dependencias que conforman el Poder Ejecutivo, la emisión de sus Manuales de Organización y de Procedimientos necesarios para su funcionamiento, siendo por ende responsables de establecer y mantener el Control Interno Institucional necesario para canalizar las actividades hacia el logro de sus objetivos y metas, evaluar y supervisar su funcionamiento y emitir las acciones para su mejora continua.</w:t>
      </w:r>
    </w:p>
    <w:p w14:paraId="18831C22" w14:textId="77777777" w:rsidR="00B0059B" w:rsidRPr="00FD2DE6" w:rsidRDefault="00B0059B" w:rsidP="00B0059B">
      <w:pPr>
        <w:tabs>
          <w:tab w:val="left" w:pos="7260"/>
        </w:tabs>
        <w:jc w:val="both"/>
        <w:rPr>
          <w:rFonts w:ascii="Montserrat" w:eastAsia="Times New Roman" w:hAnsi="Montserrat" w:cs="Arial"/>
        </w:rPr>
      </w:pPr>
    </w:p>
    <w:p w14:paraId="0678CE20" w14:textId="1DC69531" w:rsidR="001B0EE1" w:rsidRDefault="00B0059B" w:rsidP="00882EAC">
      <w:pPr>
        <w:tabs>
          <w:tab w:val="left" w:pos="7260"/>
        </w:tabs>
        <w:jc w:val="both"/>
        <w:rPr>
          <w:rFonts w:ascii="Montserrat" w:eastAsia="Times New Roman" w:hAnsi="Montserrat" w:cs="Arial"/>
        </w:rPr>
      </w:pPr>
      <w:r w:rsidRPr="00FD2DE6">
        <w:rPr>
          <w:rFonts w:ascii="Montserrat" w:eastAsia="Times New Roman" w:hAnsi="Montserrat" w:cs="Arial"/>
        </w:rPr>
        <w:t xml:space="preserve">La Secretaría de Administración, está llevando a cabo la modernización del Sistema Integral de Control Patrimonial (SICIPO), mismo que tiene como principal objetivo lograr la eficiencia en la administración de los bienes muebles e inmuebles propiedad del Estado, mismo que se </w:t>
      </w:r>
      <w:r w:rsidR="006C4CF8">
        <w:rPr>
          <w:rFonts w:ascii="Montserrat" w:eastAsia="Times New Roman" w:hAnsi="Montserrat" w:cs="Arial"/>
        </w:rPr>
        <w:t>denomina Sistema de Inventarios Integral de Oaxaca (</w:t>
      </w:r>
      <w:proofErr w:type="spellStart"/>
      <w:r w:rsidR="006C4CF8">
        <w:rPr>
          <w:rFonts w:ascii="Montserrat" w:eastAsia="Times New Roman" w:hAnsi="Montserrat" w:cs="Arial"/>
        </w:rPr>
        <w:t>SIIO</w:t>
      </w:r>
      <w:proofErr w:type="spellEnd"/>
      <w:r w:rsidR="006C4CF8">
        <w:rPr>
          <w:rFonts w:ascii="Montserrat" w:eastAsia="Times New Roman" w:hAnsi="Montserrat" w:cs="Arial"/>
        </w:rPr>
        <w:t xml:space="preserve">) y se </w:t>
      </w:r>
      <w:r w:rsidRPr="00FD2DE6">
        <w:rPr>
          <w:rFonts w:ascii="Montserrat" w:eastAsia="Times New Roman" w:hAnsi="Montserrat" w:cs="Arial"/>
        </w:rPr>
        <w:t>implement</w:t>
      </w:r>
      <w:r w:rsidR="00882EAC">
        <w:rPr>
          <w:rFonts w:ascii="Montserrat" w:eastAsia="Times New Roman" w:hAnsi="Montserrat" w:cs="Arial"/>
        </w:rPr>
        <w:t xml:space="preserve">ó </w:t>
      </w:r>
      <w:r w:rsidRPr="00FD2DE6">
        <w:rPr>
          <w:rFonts w:ascii="Montserrat" w:eastAsia="Times New Roman" w:hAnsi="Montserrat" w:cs="Arial"/>
        </w:rPr>
        <w:t xml:space="preserve">durante </w:t>
      </w:r>
      <w:r w:rsidR="00882EAC">
        <w:rPr>
          <w:rFonts w:ascii="Montserrat" w:eastAsia="Times New Roman" w:hAnsi="Montserrat" w:cs="Arial"/>
        </w:rPr>
        <w:t>los primeros meses d</w:t>
      </w:r>
      <w:r w:rsidRPr="00FD2DE6">
        <w:rPr>
          <w:rFonts w:ascii="Montserrat" w:eastAsia="Times New Roman" w:hAnsi="Montserrat" w:cs="Arial"/>
        </w:rPr>
        <w:t>el ejercicio 2024</w:t>
      </w:r>
      <w:r w:rsidR="00882EAC">
        <w:rPr>
          <w:rFonts w:ascii="Montserrat" w:eastAsia="Times New Roman" w:hAnsi="Montserrat" w:cs="Arial"/>
        </w:rPr>
        <w:t xml:space="preserve"> y que sigue en proceso de estabilización y mejora continua</w:t>
      </w:r>
      <w:r w:rsidR="006C4CF8">
        <w:rPr>
          <w:rFonts w:ascii="Montserrat" w:eastAsia="Times New Roman" w:hAnsi="Montserrat" w:cs="Arial"/>
        </w:rPr>
        <w:t>.</w:t>
      </w:r>
    </w:p>
    <w:p w14:paraId="1C42F37D" w14:textId="77777777" w:rsidR="00882EAC" w:rsidRPr="00FD2DE6" w:rsidRDefault="00882EAC" w:rsidP="00882EAC">
      <w:pPr>
        <w:tabs>
          <w:tab w:val="left" w:pos="7260"/>
        </w:tabs>
        <w:jc w:val="both"/>
        <w:rPr>
          <w:rFonts w:ascii="Montserrat" w:eastAsia="Times New Roman" w:hAnsi="Montserrat" w:cs="Arial"/>
        </w:rPr>
      </w:pPr>
    </w:p>
    <w:p w14:paraId="63886655"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Por lo que corresponde al Sistema Estatal de Finanzas Púbicas (SEFIP), sistema con el que se registra y controla toda la información contable y presupuestal, la Secretaría de Finanzas por medio de la Dirección de Contabilidad Gubernamental y la Dirección de Tecnologías de Información, implementará mejoras en la funcionalidad de dicho sistema, beneficiando la operación y la emisión de información financiera, presupuestal y contable. </w:t>
      </w:r>
    </w:p>
    <w:p w14:paraId="6CA9BCD4" w14:textId="77777777" w:rsidR="004B3002" w:rsidRPr="00FD2DE6" w:rsidRDefault="004B3002" w:rsidP="00B0059B">
      <w:pPr>
        <w:tabs>
          <w:tab w:val="left" w:pos="7260"/>
        </w:tabs>
        <w:jc w:val="both"/>
        <w:rPr>
          <w:rFonts w:ascii="Montserrat" w:eastAsia="Times New Roman" w:hAnsi="Montserrat" w:cs="Arial"/>
        </w:rPr>
      </w:pPr>
    </w:p>
    <w:p w14:paraId="22106ADB" w14:textId="77777777" w:rsidR="00B0059B" w:rsidRPr="00FD2DE6" w:rsidRDefault="00B0059B" w:rsidP="00031666">
      <w:pPr>
        <w:pStyle w:val="Prrafodelista"/>
        <w:widowControl w:val="0"/>
        <w:numPr>
          <w:ilvl w:val="0"/>
          <w:numId w:val="37"/>
        </w:numPr>
        <w:ind w:left="426" w:hanging="426"/>
        <w:jc w:val="both"/>
        <w:rPr>
          <w:rFonts w:ascii="Montserrat" w:hAnsi="Montserrat"/>
          <w:b/>
          <w:sz w:val="24"/>
          <w:szCs w:val="24"/>
        </w:rPr>
      </w:pPr>
      <w:r w:rsidRPr="00FD2DE6">
        <w:rPr>
          <w:rFonts w:ascii="Montserrat" w:hAnsi="Montserrat"/>
          <w:b/>
          <w:sz w:val="24"/>
          <w:szCs w:val="24"/>
        </w:rPr>
        <w:t>Información por Segmentos</w:t>
      </w:r>
    </w:p>
    <w:p w14:paraId="6AE017B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El 31 de Diciembre de 2008 fue publicada en el Diario Oficial de la Federación, la Ley General de Contabilidad Gubernamental que tiene como objeto establecer los criterios generales que regirán la Contabilidad </w:t>
      </w:r>
      <w:r w:rsidRPr="00FD2DE6">
        <w:rPr>
          <w:rFonts w:ascii="Montserrat" w:eastAsia="Times New Roman" w:hAnsi="Montserrat" w:cs="Arial"/>
        </w:rPr>
        <w:lastRenderedPageBreak/>
        <w:t>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Dicha Ley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31FBB91A" w14:textId="77777777" w:rsidR="00B0059B" w:rsidRPr="00FD2DE6" w:rsidRDefault="00B0059B" w:rsidP="00B0059B">
      <w:pPr>
        <w:tabs>
          <w:tab w:val="left" w:pos="7260"/>
        </w:tabs>
        <w:jc w:val="both"/>
        <w:rPr>
          <w:rFonts w:ascii="Montserrat" w:eastAsia="Times New Roman" w:hAnsi="Montserrat" w:cs="Arial"/>
        </w:rPr>
      </w:pPr>
    </w:p>
    <w:p w14:paraId="20F8F5A3"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Por lo anterior, la información del Poder Ejecutivo se apega a los lineamientos establecidos por el CONAC y no se presenta información por segmentos.</w:t>
      </w:r>
    </w:p>
    <w:p w14:paraId="1B0E0404" w14:textId="77777777" w:rsidR="00F60DC8" w:rsidRPr="00FD2DE6" w:rsidRDefault="00F60DC8" w:rsidP="00B0059B">
      <w:pPr>
        <w:tabs>
          <w:tab w:val="left" w:pos="7260"/>
        </w:tabs>
        <w:jc w:val="both"/>
        <w:rPr>
          <w:rFonts w:ascii="Montserrat" w:eastAsia="Times New Roman" w:hAnsi="Montserrat" w:cs="Arial"/>
        </w:rPr>
      </w:pPr>
    </w:p>
    <w:p w14:paraId="7610B138" w14:textId="77777777" w:rsidR="00B0059B" w:rsidRPr="00FD2DE6" w:rsidRDefault="00B0059B" w:rsidP="00031666">
      <w:pPr>
        <w:pStyle w:val="Prrafodelista"/>
        <w:widowControl w:val="0"/>
        <w:numPr>
          <w:ilvl w:val="0"/>
          <w:numId w:val="37"/>
        </w:numPr>
        <w:ind w:left="426" w:hanging="426"/>
        <w:jc w:val="both"/>
        <w:rPr>
          <w:rFonts w:ascii="Montserrat" w:hAnsi="Montserrat"/>
          <w:b/>
          <w:sz w:val="24"/>
          <w:szCs w:val="24"/>
        </w:rPr>
      </w:pPr>
      <w:r w:rsidRPr="00FD2DE6">
        <w:rPr>
          <w:rFonts w:ascii="Montserrat" w:hAnsi="Montserrat"/>
          <w:b/>
          <w:sz w:val="24"/>
          <w:szCs w:val="24"/>
        </w:rPr>
        <w:t>Eventos Posteriores al Cierre</w:t>
      </w:r>
    </w:p>
    <w:p w14:paraId="796BACAC"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 la fecha del presente informe no se identifican eventos posteriores al cierre que afecten económicamente al ente público.</w:t>
      </w:r>
    </w:p>
    <w:p w14:paraId="4C30B7A1" w14:textId="77777777" w:rsidR="00A73E15" w:rsidRPr="00FD2DE6" w:rsidRDefault="00A73E15" w:rsidP="00B0059B">
      <w:pPr>
        <w:pStyle w:val="Prrafodelista"/>
        <w:widowControl w:val="0"/>
        <w:ind w:left="426"/>
        <w:jc w:val="both"/>
        <w:rPr>
          <w:rFonts w:ascii="Montserrat" w:hAnsi="Montserrat"/>
          <w:b/>
          <w:sz w:val="24"/>
          <w:szCs w:val="24"/>
        </w:rPr>
      </w:pPr>
    </w:p>
    <w:p w14:paraId="61102CB8" w14:textId="77777777" w:rsidR="00B0059B" w:rsidRPr="00FD2DE6" w:rsidRDefault="00B0059B" w:rsidP="00031666">
      <w:pPr>
        <w:pStyle w:val="Prrafodelista"/>
        <w:widowControl w:val="0"/>
        <w:numPr>
          <w:ilvl w:val="0"/>
          <w:numId w:val="37"/>
        </w:numPr>
        <w:ind w:left="426" w:hanging="426"/>
        <w:jc w:val="both"/>
        <w:rPr>
          <w:rFonts w:ascii="Montserrat" w:hAnsi="Montserrat"/>
          <w:b/>
          <w:sz w:val="24"/>
          <w:szCs w:val="24"/>
        </w:rPr>
      </w:pPr>
      <w:r w:rsidRPr="00FD2DE6">
        <w:rPr>
          <w:rFonts w:ascii="Montserrat" w:hAnsi="Montserrat"/>
          <w:b/>
          <w:sz w:val="24"/>
          <w:szCs w:val="24"/>
        </w:rPr>
        <w:t>Partes Relacionadas.</w:t>
      </w:r>
    </w:p>
    <w:p w14:paraId="449069CF"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No existen partes relacionadas que influyan en la toma de decisiones financieras y operativas en la información contable, presupuestaria y programática.</w:t>
      </w:r>
    </w:p>
    <w:p w14:paraId="132ABE42" w14:textId="77777777" w:rsidR="00B0059B" w:rsidRDefault="00B0059B" w:rsidP="00B0059B">
      <w:pPr>
        <w:tabs>
          <w:tab w:val="left" w:pos="7260"/>
        </w:tabs>
        <w:jc w:val="both"/>
        <w:rPr>
          <w:rFonts w:ascii="Montserrat" w:eastAsia="Times New Roman" w:hAnsi="Montserrat" w:cs="Arial"/>
        </w:rPr>
      </w:pPr>
    </w:p>
    <w:p w14:paraId="64F821E2" w14:textId="77777777" w:rsidR="001463D2" w:rsidRPr="00FD2DE6" w:rsidRDefault="001463D2" w:rsidP="00B0059B">
      <w:pPr>
        <w:tabs>
          <w:tab w:val="left" w:pos="7260"/>
        </w:tabs>
        <w:jc w:val="both"/>
        <w:rPr>
          <w:rFonts w:ascii="Montserrat" w:eastAsia="Times New Roman" w:hAnsi="Montserrat" w:cs="Arial"/>
        </w:rPr>
      </w:pPr>
    </w:p>
    <w:p w14:paraId="443125A3" w14:textId="77777777" w:rsidR="00B0059B" w:rsidRPr="00FD2DE6" w:rsidRDefault="00B0059B" w:rsidP="001463D2">
      <w:pPr>
        <w:pStyle w:val="Prrafodelista"/>
        <w:keepNext/>
        <w:widowControl w:val="0"/>
        <w:numPr>
          <w:ilvl w:val="0"/>
          <w:numId w:val="37"/>
        </w:numPr>
        <w:ind w:left="425" w:hanging="425"/>
        <w:jc w:val="both"/>
        <w:rPr>
          <w:rFonts w:ascii="Montserrat" w:hAnsi="Montserrat"/>
          <w:b/>
          <w:sz w:val="24"/>
          <w:szCs w:val="24"/>
        </w:rPr>
      </w:pPr>
      <w:r w:rsidRPr="00FD2DE6">
        <w:rPr>
          <w:rFonts w:ascii="Montserrat" w:hAnsi="Montserrat"/>
          <w:b/>
          <w:sz w:val="24"/>
          <w:szCs w:val="24"/>
        </w:rPr>
        <w:t>Responsabilidad sobre la Presentación Razonable de los Estados Financieros.</w:t>
      </w:r>
    </w:p>
    <w:p w14:paraId="2C7DB210" w14:textId="6D1DD72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Estados Financieros del Poder Ejecutivo son elaborados por la Secretaría de Finanzas bajo la responsabilidad de la Dirección de Contabilidad</w:t>
      </w:r>
      <w:r w:rsidR="002777EB">
        <w:rPr>
          <w:rFonts w:ascii="Montserrat" w:eastAsia="Times New Roman" w:hAnsi="Montserrat" w:cs="Arial"/>
        </w:rPr>
        <w:t xml:space="preserve"> Gubernamental</w:t>
      </w:r>
      <w:r w:rsidRPr="00FD2DE6">
        <w:rPr>
          <w:rFonts w:ascii="Montserrat" w:eastAsia="Times New Roman" w:hAnsi="Montserrat" w:cs="Arial"/>
        </w:rPr>
        <w:t>, formulados con sustento a las disposiciones legales, normas contables y presupuestales del Estado, con avances en el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 se presenta firmada en cada página y cuenta con la leyenda</w:t>
      </w:r>
      <w:r w:rsidR="002777EB">
        <w:rPr>
          <w:rFonts w:ascii="Montserrat" w:eastAsia="Times New Roman" w:hAnsi="Montserrat" w:cs="Arial"/>
        </w:rPr>
        <w:t xml:space="preserve"> </w:t>
      </w:r>
      <w:r w:rsidRPr="00FD2DE6">
        <w:rPr>
          <w:rFonts w:ascii="Montserrat" w:eastAsia="Times New Roman" w:hAnsi="Montserrat" w:cs="Arial"/>
        </w:rPr>
        <w:t xml:space="preserve">”Bajo protesta de decir verdad declaramos que los Estados </w:t>
      </w:r>
      <w:r w:rsidRPr="00FD2DE6">
        <w:rPr>
          <w:rFonts w:ascii="Montserrat" w:eastAsia="Times New Roman" w:hAnsi="Montserrat" w:cs="Arial"/>
        </w:rPr>
        <w:lastRenderedPageBreak/>
        <w:t>Financieros y sus notas, son razonablemente correctos y son responsabilidad del emisor”.</w:t>
      </w:r>
    </w:p>
    <w:p w14:paraId="6D24CD1A" w14:textId="77777777" w:rsidR="00B0059B" w:rsidRPr="00FD2DE6" w:rsidRDefault="00B0059B" w:rsidP="00B0059B">
      <w:pPr>
        <w:tabs>
          <w:tab w:val="left" w:pos="7260"/>
        </w:tabs>
        <w:jc w:val="both"/>
        <w:rPr>
          <w:rFonts w:ascii="Montserrat" w:eastAsia="Times New Roman" w:hAnsi="Montserrat" w:cs="Arial"/>
        </w:rPr>
      </w:pPr>
    </w:p>
    <w:p w14:paraId="0D026D12" w14:textId="3B0AF1B0" w:rsidR="001B0EE1" w:rsidRDefault="001B0EE1">
      <w:pPr>
        <w:rPr>
          <w:rFonts w:ascii="Montserrat" w:hAnsi="Montserrat"/>
          <w:b/>
        </w:rPr>
      </w:pPr>
    </w:p>
    <w:p w14:paraId="08C958F4" w14:textId="77777777" w:rsidR="005F14C8" w:rsidRDefault="005F14C8">
      <w:pPr>
        <w:rPr>
          <w:rFonts w:ascii="Montserrat" w:hAnsi="Montserrat"/>
          <w:b/>
        </w:rPr>
      </w:pPr>
    </w:p>
    <w:p w14:paraId="65A6BF49" w14:textId="77777777" w:rsidR="005F14C8" w:rsidRPr="00FD2DE6" w:rsidRDefault="005F14C8">
      <w:pPr>
        <w:rPr>
          <w:rFonts w:ascii="Montserrat" w:hAnsi="Montserrat"/>
          <w:b/>
        </w:rPr>
      </w:pPr>
    </w:p>
    <w:p w14:paraId="192F4F24" w14:textId="4594BD48" w:rsidR="005556D5" w:rsidRPr="00192892" w:rsidRDefault="005556D5" w:rsidP="006549CB">
      <w:pPr>
        <w:tabs>
          <w:tab w:val="left" w:pos="7260"/>
        </w:tabs>
        <w:jc w:val="center"/>
        <w:rPr>
          <w:rFonts w:ascii="Montserrat" w:hAnsi="Montserrat"/>
          <w:b/>
          <w:sz w:val="22"/>
          <w:szCs w:val="22"/>
        </w:rPr>
      </w:pPr>
      <w:r w:rsidRPr="00192892">
        <w:rPr>
          <w:rFonts w:ascii="Montserrat" w:hAnsi="Montserrat"/>
          <w:b/>
          <w:sz w:val="22"/>
          <w:szCs w:val="22"/>
        </w:rPr>
        <w:t>NOTAS DE DESGLOSE:</w:t>
      </w:r>
    </w:p>
    <w:p w14:paraId="46FBDB4B" w14:textId="77777777" w:rsidR="005556D5" w:rsidRPr="00192892" w:rsidRDefault="005556D5" w:rsidP="005556D5">
      <w:pPr>
        <w:rPr>
          <w:rFonts w:ascii="Montserrat" w:hAnsi="Montserrat"/>
          <w:sz w:val="22"/>
          <w:szCs w:val="22"/>
        </w:rPr>
      </w:pPr>
    </w:p>
    <w:p w14:paraId="6162DDF2" w14:textId="77777777" w:rsidR="007450FA" w:rsidRDefault="007450FA" w:rsidP="005556D5">
      <w:pPr>
        <w:rPr>
          <w:rFonts w:ascii="Montserrat" w:hAnsi="Montserrat"/>
          <w:sz w:val="22"/>
          <w:szCs w:val="22"/>
        </w:rPr>
      </w:pPr>
    </w:p>
    <w:p w14:paraId="7EE6AA89" w14:textId="77777777" w:rsidR="005F14C8" w:rsidRPr="00192892" w:rsidRDefault="005F14C8" w:rsidP="005556D5">
      <w:pPr>
        <w:rPr>
          <w:rFonts w:ascii="Montserrat" w:hAnsi="Montserrat"/>
          <w:sz w:val="22"/>
          <w:szCs w:val="22"/>
        </w:rPr>
      </w:pPr>
    </w:p>
    <w:bookmarkEnd w:id="1"/>
    <w:p w14:paraId="198FA776" w14:textId="77777777" w:rsidR="00926C5C" w:rsidRPr="00192892" w:rsidRDefault="00926C5C" w:rsidP="00926C5C">
      <w:pPr>
        <w:rPr>
          <w:rFonts w:ascii="Montserrat" w:hAnsi="Montserrat"/>
          <w:b/>
          <w:bCs/>
          <w:sz w:val="22"/>
          <w:szCs w:val="22"/>
        </w:rPr>
      </w:pPr>
      <w:r w:rsidRPr="00192892">
        <w:rPr>
          <w:rFonts w:ascii="Montserrat" w:hAnsi="Montserrat"/>
          <w:b/>
          <w:bCs/>
          <w:sz w:val="22"/>
          <w:szCs w:val="22"/>
        </w:rPr>
        <w:t>NOTAS AL ESTADO DE ACTIVIDADES.</w:t>
      </w:r>
    </w:p>
    <w:p w14:paraId="37182612" w14:textId="77777777" w:rsidR="00926C5C" w:rsidRPr="00192892" w:rsidRDefault="00926C5C" w:rsidP="00926C5C">
      <w:pPr>
        <w:widowControl w:val="0"/>
        <w:jc w:val="both"/>
        <w:rPr>
          <w:rFonts w:ascii="Montserrat" w:hAnsi="Montserrat"/>
          <w:sz w:val="22"/>
          <w:szCs w:val="22"/>
        </w:rPr>
      </w:pPr>
    </w:p>
    <w:p w14:paraId="34794FF7" w14:textId="53B6B2FF" w:rsidR="00926C5C" w:rsidRPr="00192892" w:rsidRDefault="00926C5C" w:rsidP="00926C5C">
      <w:pPr>
        <w:widowControl w:val="0"/>
        <w:jc w:val="both"/>
        <w:rPr>
          <w:rFonts w:ascii="Montserrat" w:hAnsi="Montserrat"/>
          <w:sz w:val="22"/>
          <w:szCs w:val="22"/>
        </w:rPr>
      </w:pPr>
      <w:r w:rsidRPr="00192892">
        <w:rPr>
          <w:rFonts w:ascii="Montserrat" w:hAnsi="Montserrat"/>
          <w:sz w:val="22"/>
          <w:szCs w:val="22"/>
        </w:rPr>
        <w:t>Este Estado financiero muestra dos agregados que corresponden a los entes públicos que conforman el Poder Ejecutivo, representados por los Ingresos y Otros Beneficios, así como los Gastos y Otras Perdidas, mostrando los conceptos del ingreso de acuerdo con la Ley de Ingresos y los Gastos con los conceptos del Clasificador por Objeto del Gasto, permitiendo determinar el resultado del periodo enero-</w:t>
      </w:r>
      <w:r w:rsidR="00135569">
        <w:rPr>
          <w:rFonts w:ascii="Montserrat" w:hAnsi="Montserrat"/>
          <w:sz w:val="22"/>
          <w:szCs w:val="22"/>
        </w:rPr>
        <w:t>diciembre</w:t>
      </w:r>
      <w:r w:rsidRPr="00192892">
        <w:rPr>
          <w:rFonts w:ascii="Montserrat" w:hAnsi="Montserrat"/>
          <w:sz w:val="22"/>
          <w:szCs w:val="22"/>
        </w:rPr>
        <w:t xml:space="preserve"> de 2024 y 2023. Mismo que se muestra a continuación:</w:t>
      </w:r>
    </w:p>
    <w:p w14:paraId="2CFD7EE3" w14:textId="77777777" w:rsidR="00926C5C" w:rsidRPr="00192892" w:rsidRDefault="00926C5C" w:rsidP="00926C5C">
      <w:pPr>
        <w:spacing w:line="224" w:lineRule="exact"/>
        <w:jc w:val="both"/>
        <w:rPr>
          <w:rFonts w:ascii="Montserrat" w:hAnsi="Montserrat"/>
          <w:b/>
          <w:color w:val="000000"/>
          <w:sz w:val="22"/>
          <w:szCs w:val="22"/>
        </w:rPr>
      </w:pPr>
      <w:bookmarkStart w:id="8" w:name="_Hlk157387330"/>
    </w:p>
    <w:p w14:paraId="13F9A13C" w14:textId="77777777" w:rsidR="00926C5C" w:rsidRPr="00192892" w:rsidRDefault="00926C5C" w:rsidP="00926C5C">
      <w:pPr>
        <w:spacing w:line="224" w:lineRule="exact"/>
        <w:jc w:val="both"/>
        <w:rPr>
          <w:rFonts w:ascii="Montserrat" w:hAnsi="Montserrat"/>
          <w:b/>
          <w:color w:val="000000"/>
          <w:sz w:val="22"/>
          <w:szCs w:val="22"/>
        </w:rPr>
      </w:pPr>
    </w:p>
    <w:p w14:paraId="6AAB3B4F" w14:textId="77777777" w:rsidR="00926C5C" w:rsidRPr="00192892" w:rsidRDefault="00926C5C" w:rsidP="00926C5C">
      <w:pPr>
        <w:spacing w:line="224" w:lineRule="exact"/>
        <w:jc w:val="both"/>
        <w:rPr>
          <w:rFonts w:ascii="Montserrat" w:hAnsi="Montserrat" w:cs="Arial"/>
          <w:b/>
          <w:sz w:val="22"/>
          <w:szCs w:val="22"/>
          <w:lang w:val="es-MX"/>
        </w:rPr>
      </w:pPr>
      <w:r w:rsidRPr="00192892">
        <w:rPr>
          <w:rFonts w:ascii="Montserrat" w:hAnsi="Montserrat"/>
          <w:b/>
          <w:color w:val="000000"/>
          <w:sz w:val="22"/>
          <w:szCs w:val="22"/>
        </w:rPr>
        <w:t xml:space="preserve">Nota 1.- </w:t>
      </w:r>
      <w:r w:rsidRPr="00192892">
        <w:rPr>
          <w:rFonts w:ascii="Montserrat" w:hAnsi="Montserrat" w:cs="Arial"/>
          <w:b/>
          <w:sz w:val="22"/>
          <w:szCs w:val="22"/>
          <w:lang w:val="es-MX"/>
        </w:rPr>
        <w:t>Ingresos y Otros Beneficios</w:t>
      </w:r>
    </w:p>
    <w:bookmarkEnd w:id="8"/>
    <w:p w14:paraId="460F2E99" w14:textId="77777777" w:rsidR="00926C5C" w:rsidRPr="00192892" w:rsidRDefault="00926C5C" w:rsidP="00926C5C">
      <w:pPr>
        <w:spacing w:line="224" w:lineRule="exact"/>
        <w:jc w:val="both"/>
        <w:rPr>
          <w:rFonts w:ascii="Montserrat" w:hAnsi="Montserrat" w:cs="Arial"/>
          <w:b/>
          <w:sz w:val="22"/>
          <w:szCs w:val="22"/>
          <w:lang w:val="es-MX"/>
        </w:rPr>
      </w:pPr>
    </w:p>
    <w:p w14:paraId="4F7B88CF" w14:textId="77777777" w:rsidR="00926C5C" w:rsidRPr="00192892" w:rsidRDefault="00926C5C" w:rsidP="00926C5C">
      <w:pPr>
        <w:pBdr>
          <w:top w:val="nil"/>
          <w:left w:val="nil"/>
          <w:bottom w:val="nil"/>
          <w:right w:val="nil"/>
          <w:between w:val="nil"/>
        </w:pBdr>
        <w:jc w:val="center"/>
        <w:rPr>
          <w:rFonts w:ascii="Montserrat" w:hAnsi="Montserrat"/>
          <w:b/>
          <w:color w:val="000000"/>
          <w:sz w:val="22"/>
          <w:szCs w:val="22"/>
        </w:rPr>
      </w:pPr>
      <w:r w:rsidRPr="00192892">
        <w:rPr>
          <w:rFonts w:ascii="Montserrat" w:hAnsi="Montserrat"/>
          <w:b/>
          <w:color w:val="000000"/>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7585D92F" w14:textId="77777777" w:rsidTr="00732FA0">
        <w:trPr>
          <w:trHeight w:val="330"/>
        </w:trPr>
        <w:tc>
          <w:tcPr>
            <w:tcW w:w="4480"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hideMark/>
          </w:tcPr>
          <w:p w14:paraId="47EA8E5A" w14:textId="77777777" w:rsidR="004B2ED9" w:rsidRPr="00732FA0" w:rsidRDefault="004B2ED9" w:rsidP="004B2ED9">
            <w:pPr>
              <w:jc w:val="center"/>
              <w:rPr>
                <w:rFonts w:ascii="Times New Roman" w:eastAsia="Times New Roman" w:hAnsi="Times New Roman" w:cs="Times New Roman"/>
                <w:b/>
                <w:bCs/>
                <w:color w:val="FFFFFF" w:themeColor="background1"/>
                <w:lang w:val="es-MX"/>
              </w:rPr>
            </w:pPr>
            <w:bookmarkStart w:id="9" w:name="_Hlk157387559"/>
            <w:r w:rsidRPr="00732FA0">
              <w:rPr>
                <w:rFonts w:ascii="Times New Roman" w:eastAsia="Times New Roman" w:hAnsi="Times New Roman" w:cs="Times New Roman"/>
                <w:b/>
                <w:bCs/>
                <w:color w:val="FFFFFF" w:themeColor="background1"/>
                <w:lang w:val="es-MX"/>
              </w:rPr>
              <w:t>Concepto</w:t>
            </w:r>
          </w:p>
        </w:tc>
        <w:tc>
          <w:tcPr>
            <w:tcW w:w="2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0C63E1C0" w14:textId="77777777" w:rsidR="004B2ED9" w:rsidRPr="00732FA0" w:rsidRDefault="004B2ED9" w:rsidP="004B2ED9">
            <w:pPr>
              <w:jc w:val="center"/>
              <w:rPr>
                <w:rFonts w:ascii="Times New Roman" w:eastAsia="Times New Roman" w:hAnsi="Times New Roman" w:cs="Times New Roman"/>
                <w:b/>
                <w:bCs/>
                <w:color w:val="FFFFFF" w:themeColor="background1"/>
                <w:lang w:val="es-MX"/>
              </w:rPr>
            </w:pPr>
            <w:r w:rsidRPr="00732FA0">
              <w:rPr>
                <w:rFonts w:ascii="Times New Roman" w:eastAsia="Times New Roman" w:hAnsi="Times New Roman" w:cs="Times New Roman"/>
                <w:b/>
                <w:bCs/>
                <w:color w:val="FFFFFF" w:themeColor="background1"/>
                <w:lang w:val="es-MX"/>
              </w:rPr>
              <w:t>2024</w:t>
            </w:r>
          </w:p>
        </w:tc>
        <w:tc>
          <w:tcPr>
            <w:tcW w:w="2220"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6ED82810" w14:textId="77777777" w:rsidR="004B2ED9" w:rsidRPr="00732FA0" w:rsidRDefault="004B2ED9" w:rsidP="004B2ED9">
            <w:pPr>
              <w:jc w:val="center"/>
              <w:rPr>
                <w:rFonts w:ascii="Times New Roman" w:eastAsia="Times New Roman" w:hAnsi="Times New Roman" w:cs="Times New Roman"/>
                <w:b/>
                <w:bCs/>
                <w:color w:val="FFFFFF" w:themeColor="background1"/>
                <w:lang w:val="es-MX"/>
              </w:rPr>
            </w:pPr>
            <w:r w:rsidRPr="00732FA0">
              <w:rPr>
                <w:rFonts w:ascii="Times New Roman" w:eastAsia="Times New Roman" w:hAnsi="Times New Roman" w:cs="Times New Roman"/>
                <w:b/>
                <w:bCs/>
                <w:color w:val="FFFFFF" w:themeColor="background1"/>
                <w:lang w:val="es-MX"/>
              </w:rPr>
              <w:t>2023</w:t>
            </w:r>
          </w:p>
        </w:tc>
      </w:tr>
      <w:tr w:rsidR="004B2ED9" w:rsidRPr="004B2ED9" w14:paraId="56D8157A"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2AE9C527"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Impuestos</w:t>
            </w:r>
          </w:p>
        </w:tc>
        <w:tc>
          <w:tcPr>
            <w:tcW w:w="2240" w:type="dxa"/>
            <w:tcBorders>
              <w:top w:val="nil"/>
              <w:left w:val="nil"/>
              <w:bottom w:val="single" w:sz="8" w:space="0" w:color="auto"/>
              <w:right w:val="single" w:sz="8" w:space="0" w:color="auto"/>
            </w:tcBorders>
            <w:shd w:val="clear" w:color="auto" w:fill="auto"/>
            <w:vAlign w:val="center"/>
            <w:hideMark/>
          </w:tcPr>
          <w:p w14:paraId="653D445B"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2,141,687,266</w:t>
            </w:r>
          </w:p>
        </w:tc>
        <w:tc>
          <w:tcPr>
            <w:tcW w:w="2220" w:type="dxa"/>
            <w:tcBorders>
              <w:top w:val="nil"/>
              <w:left w:val="nil"/>
              <w:bottom w:val="single" w:sz="8" w:space="0" w:color="auto"/>
              <w:right w:val="single" w:sz="8" w:space="0" w:color="auto"/>
            </w:tcBorders>
            <w:shd w:val="clear" w:color="auto" w:fill="auto"/>
            <w:vAlign w:val="center"/>
            <w:hideMark/>
          </w:tcPr>
          <w:p w14:paraId="7A743311"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1,846,163,237</w:t>
            </w:r>
          </w:p>
        </w:tc>
      </w:tr>
      <w:tr w:rsidR="004B2ED9" w:rsidRPr="004B2ED9" w14:paraId="680C067F"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ABCBE5D"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Derechos</w:t>
            </w:r>
          </w:p>
        </w:tc>
        <w:tc>
          <w:tcPr>
            <w:tcW w:w="2240" w:type="dxa"/>
            <w:tcBorders>
              <w:top w:val="nil"/>
              <w:left w:val="nil"/>
              <w:bottom w:val="single" w:sz="8" w:space="0" w:color="auto"/>
              <w:right w:val="single" w:sz="8" w:space="0" w:color="auto"/>
            </w:tcBorders>
            <w:shd w:val="clear" w:color="auto" w:fill="auto"/>
            <w:vAlign w:val="center"/>
            <w:hideMark/>
          </w:tcPr>
          <w:p w14:paraId="75DFD5D7"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2,684,562,620</w:t>
            </w:r>
          </w:p>
        </w:tc>
        <w:tc>
          <w:tcPr>
            <w:tcW w:w="2220" w:type="dxa"/>
            <w:tcBorders>
              <w:top w:val="nil"/>
              <w:left w:val="nil"/>
              <w:bottom w:val="single" w:sz="8" w:space="0" w:color="auto"/>
              <w:right w:val="single" w:sz="8" w:space="0" w:color="auto"/>
            </w:tcBorders>
            <w:shd w:val="clear" w:color="auto" w:fill="auto"/>
            <w:vAlign w:val="center"/>
            <w:hideMark/>
          </w:tcPr>
          <w:p w14:paraId="271B9411"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2,250,191,609</w:t>
            </w:r>
          </w:p>
        </w:tc>
      </w:tr>
      <w:tr w:rsidR="004B2ED9" w:rsidRPr="004B2ED9" w14:paraId="53DB730F"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0622A6D"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Productos</w:t>
            </w:r>
          </w:p>
        </w:tc>
        <w:tc>
          <w:tcPr>
            <w:tcW w:w="2240" w:type="dxa"/>
            <w:tcBorders>
              <w:top w:val="nil"/>
              <w:left w:val="nil"/>
              <w:bottom w:val="single" w:sz="8" w:space="0" w:color="auto"/>
              <w:right w:val="single" w:sz="8" w:space="0" w:color="auto"/>
            </w:tcBorders>
            <w:shd w:val="clear" w:color="auto" w:fill="auto"/>
            <w:vAlign w:val="center"/>
            <w:hideMark/>
          </w:tcPr>
          <w:p w14:paraId="41026DD7"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998,289,283</w:t>
            </w:r>
          </w:p>
        </w:tc>
        <w:tc>
          <w:tcPr>
            <w:tcW w:w="2220" w:type="dxa"/>
            <w:tcBorders>
              <w:top w:val="nil"/>
              <w:left w:val="nil"/>
              <w:bottom w:val="single" w:sz="8" w:space="0" w:color="auto"/>
              <w:right w:val="single" w:sz="8" w:space="0" w:color="auto"/>
            </w:tcBorders>
            <w:shd w:val="clear" w:color="auto" w:fill="auto"/>
            <w:vAlign w:val="center"/>
            <w:hideMark/>
          </w:tcPr>
          <w:p w14:paraId="153CAD92"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601,268,083</w:t>
            </w:r>
          </w:p>
        </w:tc>
      </w:tr>
      <w:tr w:rsidR="004B2ED9" w:rsidRPr="004B2ED9" w14:paraId="1C8714C6"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24D9E90F"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Aprovechamientos</w:t>
            </w:r>
          </w:p>
        </w:tc>
        <w:tc>
          <w:tcPr>
            <w:tcW w:w="2240" w:type="dxa"/>
            <w:tcBorders>
              <w:top w:val="nil"/>
              <w:left w:val="nil"/>
              <w:bottom w:val="single" w:sz="8" w:space="0" w:color="auto"/>
              <w:right w:val="single" w:sz="8" w:space="0" w:color="auto"/>
            </w:tcBorders>
            <w:shd w:val="clear" w:color="auto" w:fill="auto"/>
            <w:vAlign w:val="center"/>
            <w:hideMark/>
          </w:tcPr>
          <w:p w14:paraId="56CE996C"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746,384,332</w:t>
            </w:r>
          </w:p>
        </w:tc>
        <w:tc>
          <w:tcPr>
            <w:tcW w:w="2220" w:type="dxa"/>
            <w:tcBorders>
              <w:top w:val="nil"/>
              <w:left w:val="nil"/>
              <w:bottom w:val="single" w:sz="8" w:space="0" w:color="auto"/>
              <w:right w:val="single" w:sz="8" w:space="0" w:color="auto"/>
            </w:tcBorders>
            <w:shd w:val="clear" w:color="auto" w:fill="auto"/>
            <w:vAlign w:val="center"/>
            <w:hideMark/>
          </w:tcPr>
          <w:p w14:paraId="4EE0AE2F"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352,780,906</w:t>
            </w:r>
          </w:p>
        </w:tc>
      </w:tr>
      <w:tr w:rsidR="004B2ED9" w:rsidRPr="004B2ED9" w14:paraId="6930717A" w14:textId="77777777" w:rsidTr="004B2ED9">
        <w:trPr>
          <w:trHeight w:val="96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5349F4A"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Participaciones, Aportaciones, Convenios, Incentivos Derivados de la Colaboración Fiscal y Fondos Distintos de Aportaciones</w:t>
            </w:r>
          </w:p>
        </w:tc>
        <w:tc>
          <w:tcPr>
            <w:tcW w:w="2240" w:type="dxa"/>
            <w:tcBorders>
              <w:top w:val="nil"/>
              <w:left w:val="nil"/>
              <w:bottom w:val="single" w:sz="8" w:space="0" w:color="auto"/>
              <w:right w:val="single" w:sz="8" w:space="0" w:color="auto"/>
            </w:tcBorders>
            <w:shd w:val="clear" w:color="auto" w:fill="auto"/>
            <w:vAlign w:val="center"/>
            <w:hideMark/>
          </w:tcPr>
          <w:p w14:paraId="4ECF8591"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99,710,670,136</w:t>
            </w:r>
          </w:p>
        </w:tc>
        <w:tc>
          <w:tcPr>
            <w:tcW w:w="2220" w:type="dxa"/>
            <w:tcBorders>
              <w:top w:val="nil"/>
              <w:left w:val="nil"/>
              <w:bottom w:val="single" w:sz="8" w:space="0" w:color="auto"/>
              <w:right w:val="single" w:sz="8" w:space="0" w:color="auto"/>
            </w:tcBorders>
            <w:shd w:val="clear" w:color="auto" w:fill="auto"/>
            <w:vAlign w:val="center"/>
            <w:hideMark/>
          </w:tcPr>
          <w:p w14:paraId="0A43E18C"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91,962,632,304</w:t>
            </w:r>
          </w:p>
        </w:tc>
      </w:tr>
      <w:tr w:rsidR="004B2ED9" w:rsidRPr="004B2ED9" w14:paraId="41509D2B" w14:textId="77777777" w:rsidTr="004B2ED9">
        <w:trPr>
          <w:trHeight w:val="645"/>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27E4950"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Transferencias, Asignaciones, Subsidios y Subvenciones, y Pensiones y Jubilaciones</w:t>
            </w:r>
          </w:p>
        </w:tc>
        <w:tc>
          <w:tcPr>
            <w:tcW w:w="2240" w:type="dxa"/>
            <w:tcBorders>
              <w:top w:val="nil"/>
              <w:left w:val="nil"/>
              <w:bottom w:val="single" w:sz="8" w:space="0" w:color="auto"/>
              <w:right w:val="single" w:sz="8" w:space="0" w:color="auto"/>
            </w:tcBorders>
            <w:shd w:val="clear" w:color="auto" w:fill="auto"/>
            <w:vAlign w:val="center"/>
            <w:hideMark/>
          </w:tcPr>
          <w:p w14:paraId="41CF3C6F"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-65,308,575,064</w:t>
            </w:r>
          </w:p>
        </w:tc>
        <w:tc>
          <w:tcPr>
            <w:tcW w:w="2220" w:type="dxa"/>
            <w:tcBorders>
              <w:top w:val="nil"/>
              <w:left w:val="nil"/>
              <w:bottom w:val="single" w:sz="8" w:space="0" w:color="auto"/>
              <w:right w:val="single" w:sz="8" w:space="0" w:color="auto"/>
            </w:tcBorders>
            <w:shd w:val="clear" w:color="auto" w:fill="auto"/>
            <w:vAlign w:val="center"/>
            <w:hideMark/>
          </w:tcPr>
          <w:p w14:paraId="464E34E9"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-56,622,112,112</w:t>
            </w:r>
          </w:p>
        </w:tc>
      </w:tr>
      <w:tr w:rsidR="004B2ED9" w:rsidRPr="004B2ED9" w14:paraId="6B98B736"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4CAA623F"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Ingresos Financieros</w:t>
            </w:r>
          </w:p>
        </w:tc>
        <w:tc>
          <w:tcPr>
            <w:tcW w:w="2240" w:type="dxa"/>
            <w:tcBorders>
              <w:top w:val="nil"/>
              <w:left w:val="nil"/>
              <w:bottom w:val="single" w:sz="8" w:space="0" w:color="auto"/>
              <w:right w:val="single" w:sz="8" w:space="0" w:color="auto"/>
            </w:tcBorders>
            <w:shd w:val="clear" w:color="auto" w:fill="auto"/>
            <w:vAlign w:val="center"/>
            <w:hideMark/>
          </w:tcPr>
          <w:p w14:paraId="3F87ECBE"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141,821,774</w:t>
            </w:r>
          </w:p>
        </w:tc>
        <w:tc>
          <w:tcPr>
            <w:tcW w:w="2220" w:type="dxa"/>
            <w:tcBorders>
              <w:top w:val="nil"/>
              <w:left w:val="nil"/>
              <w:bottom w:val="single" w:sz="8" w:space="0" w:color="auto"/>
              <w:right w:val="single" w:sz="8" w:space="0" w:color="auto"/>
            </w:tcBorders>
            <w:shd w:val="clear" w:color="auto" w:fill="auto"/>
            <w:vAlign w:val="center"/>
            <w:hideMark/>
          </w:tcPr>
          <w:p w14:paraId="5C921767"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189,780,503</w:t>
            </w:r>
          </w:p>
        </w:tc>
      </w:tr>
      <w:tr w:rsidR="004B2ED9" w:rsidRPr="004B2ED9" w14:paraId="368438D4"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5CB988ED"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Total de Ingresos y Otros Beneficios</w:t>
            </w:r>
          </w:p>
        </w:tc>
        <w:tc>
          <w:tcPr>
            <w:tcW w:w="2240" w:type="dxa"/>
            <w:tcBorders>
              <w:top w:val="nil"/>
              <w:left w:val="nil"/>
              <w:bottom w:val="single" w:sz="8" w:space="0" w:color="auto"/>
              <w:right w:val="single" w:sz="8" w:space="0" w:color="auto"/>
            </w:tcBorders>
            <w:shd w:val="clear" w:color="auto" w:fill="auto"/>
            <w:vAlign w:val="center"/>
            <w:hideMark/>
          </w:tcPr>
          <w:p w14:paraId="54C6E51B"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41,114,840,347</w:t>
            </w:r>
          </w:p>
        </w:tc>
        <w:tc>
          <w:tcPr>
            <w:tcW w:w="2220" w:type="dxa"/>
            <w:tcBorders>
              <w:top w:val="nil"/>
              <w:left w:val="nil"/>
              <w:bottom w:val="single" w:sz="8" w:space="0" w:color="auto"/>
              <w:right w:val="single" w:sz="8" w:space="0" w:color="auto"/>
            </w:tcBorders>
            <w:shd w:val="clear" w:color="auto" w:fill="auto"/>
            <w:vAlign w:val="center"/>
            <w:hideMark/>
          </w:tcPr>
          <w:p w14:paraId="6D50240F"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40,580,704,530</w:t>
            </w:r>
          </w:p>
        </w:tc>
      </w:tr>
    </w:tbl>
    <w:p w14:paraId="54CB8AE9" w14:textId="77777777" w:rsidR="00926C5C" w:rsidRPr="00192892" w:rsidRDefault="00926C5C" w:rsidP="00926C5C">
      <w:pPr>
        <w:rPr>
          <w:rFonts w:ascii="Montserrat" w:hAnsi="Montserrat"/>
          <w:b/>
          <w:color w:val="000000"/>
          <w:sz w:val="22"/>
          <w:szCs w:val="22"/>
        </w:rPr>
      </w:pPr>
    </w:p>
    <w:p w14:paraId="10540B68" w14:textId="77777777" w:rsidR="005F14C8" w:rsidRDefault="005F14C8" w:rsidP="00926C5C">
      <w:pPr>
        <w:keepNext/>
        <w:rPr>
          <w:rFonts w:ascii="Montserrat" w:hAnsi="Montserrat"/>
          <w:b/>
          <w:color w:val="000000"/>
          <w:sz w:val="22"/>
          <w:szCs w:val="22"/>
        </w:rPr>
      </w:pPr>
    </w:p>
    <w:p w14:paraId="38ED4D8E" w14:textId="77777777" w:rsidR="005F14C8" w:rsidRDefault="005F14C8" w:rsidP="00926C5C">
      <w:pPr>
        <w:keepNext/>
        <w:rPr>
          <w:rFonts w:ascii="Montserrat" w:hAnsi="Montserrat"/>
          <w:b/>
          <w:color w:val="000000"/>
          <w:sz w:val="22"/>
          <w:szCs w:val="22"/>
        </w:rPr>
      </w:pPr>
    </w:p>
    <w:p w14:paraId="5FBBC2F3" w14:textId="77777777" w:rsidR="005F14C8" w:rsidRDefault="005F14C8" w:rsidP="00926C5C">
      <w:pPr>
        <w:keepNext/>
        <w:rPr>
          <w:rFonts w:ascii="Montserrat" w:hAnsi="Montserrat"/>
          <w:b/>
          <w:color w:val="000000"/>
          <w:sz w:val="22"/>
          <w:szCs w:val="22"/>
        </w:rPr>
      </w:pPr>
    </w:p>
    <w:p w14:paraId="56A8400D" w14:textId="77777777" w:rsidR="005F14C8" w:rsidRDefault="005F14C8">
      <w:pPr>
        <w:rPr>
          <w:rFonts w:ascii="Montserrat" w:hAnsi="Montserrat"/>
          <w:b/>
          <w:color w:val="000000"/>
          <w:sz w:val="22"/>
          <w:szCs w:val="22"/>
        </w:rPr>
      </w:pPr>
      <w:r>
        <w:rPr>
          <w:rFonts w:ascii="Montserrat" w:hAnsi="Montserrat"/>
          <w:b/>
          <w:color w:val="000000"/>
          <w:sz w:val="22"/>
          <w:szCs w:val="22"/>
        </w:rPr>
        <w:br w:type="page"/>
      </w:r>
    </w:p>
    <w:p w14:paraId="22CBA5FF" w14:textId="77777777" w:rsidR="005F14C8" w:rsidRDefault="005F14C8" w:rsidP="00926C5C">
      <w:pPr>
        <w:keepNext/>
        <w:rPr>
          <w:rFonts w:ascii="Montserrat" w:hAnsi="Montserrat"/>
          <w:b/>
          <w:color w:val="000000"/>
          <w:sz w:val="22"/>
          <w:szCs w:val="22"/>
        </w:rPr>
      </w:pPr>
    </w:p>
    <w:p w14:paraId="1F9CE9EF" w14:textId="0FAE0A3E" w:rsidR="00926C5C" w:rsidRPr="00192892" w:rsidRDefault="00926C5C" w:rsidP="00926C5C">
      <w:pPr>
        <w:keepNext/>
        <w:rPr>
          <w:rFonts w:ascii="Montserrat" w:hAnsi="Montserrat" w:cs="Arial"/>
          <w:b/>
          <w:sz w:val="22"/>
          <w:szCs w:val="22"/>
          <w:lang w:val="es-MX"/>
        </w:rPr>
      </w:pPr>
      <w:r w:rsidRPr="00192892">
        <w:rPr>
          <w:rFonts w:ascii="Montserrat" w:hAnsi="Montserrat"/>
          <w:b/>
          <w:color w:val="000000"/>
          <w:sz w:val="22"/>
          <w:szCs w:val="22"/>
        </w:rPr>
        <w:t xml:space="preserve">Nota 2.- </w:t>
      </w:r>
      <w:r w:rsidRPr="00192892">
        <w:rPr>
          <w:rFonts w:ascii="Montserrat" w:hAnsi="Montserrat" w:cs="Arial"/>
          <w:b/>
          <w:sz w:val="22"/>
          <w:szCs w:val="22"/>
          <w:lang w:val="es-MX"/>
        </w:rPr>
        <w:t>Gastos y Otras Pérdidas:</w:t>
      </w:r>
    </w:p>
    <w:bookmarkEnd w:id="9"/>
    <w:p w14:paraId="61C72EC5" w14:textId="77777777" w:rsidR="00926C5C" w:rsidRPr="00192892" w:rsidRDefault="00926C5C" w:rsidP="00926C5C">
      <w:pPr>
        <w:spacing w:line="224" w:lineRule="exact"/>
        <w:jc w:val="both"/>
        <w:rPr>
          <w:rFonts w:ascii="Montserrat" w:hAnsi="Montserrat" w:cs="Arial"/>
          <w:b/>
          <w:sz w:val="22"/>
          <w:szCs w:val="22"/>
          <w:lang w:val="es-MX"/>
        </w:rPr>
      </w:pPr>
    </w:p>
    <w:p w14:paraId="315A1734" w14:textId="77777777" w:rsidR="00926C5C" w:rsidRPr="00192892" w:rsidRDefault="00926C5C" w:rsidP="00926C5C">
      <w:pPr>
        <w:pBdr>
          <w:top w:val="nil"/>
          <w:left w:val="nil"/>
          <w:bottom w:val="nil"/>
          <w:right w:val="nil"/>
          <w:between w:val="nil"/>
        </w:pBdr>
        <w:jc w:val="center"/>
        <w:rPr>
          <w:rFonts w:ascii="Montserrat" w:hAnsi="Montserrat"/>
          <w:b/>
          <w:bCs/>
          <w:color w:val="000000"/>
          <w:sz w:val="22"/>
          <w:szCs w:val="22"/>
        </w:rPr>
      </w:pPr>
      <w:r w:rsidRPr="00192892">
        <w:rPr>
          <w:rFonts w:ascii="Montserrat" w:hAnsi="Montserrat"/>
          <w:b/>
          <w:bCs/>
          <w:color w:val="000000"/>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55B475A6" w14:textId="77777777" w:rsidTr="00732FA0">
        <w:trPr>
          <w:trHeight w:val="315"/>
        </w:trPr>
        <w:tc>
          <w:tcPr>
            <w:tcW w:w="4480"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hideMark/>
          </w:tcPr>
          <w:p w14:paraId="12C6465C" w14:textId="77777777" w:rsidR="004B2ED9" w:rsidRPr="00732FA0" w:rsidRDefault="004B2ED9" w:rsidP="004B2ED9">
            <w:pPr>
              <w:jc w:val="center"/>
              <w:rPr>
                <w:rFonts w:eastAsia="Times New Roman" w:cs="Times New Roman"/>
                <w:b/>
                <w:bCs/>
                <w:color w:val="FFFFFF" w:themeColor="background1"/>
                <w:sz w:val="22"/>
                <w:szCs w:val="22"/>
                <w:lang w:val="es-MX"/>
              </w:rPr>
            </w:pPr>
            <w:r w:rsidRPr="00732FA0">
              <w:rPr>
                <w:rFonts w:eastAsia="Times New Roman" w:cs="Times New Roman"/>
                <w:b/>
                <w:bCs/>
                <w:color w:val="FFFFFF" w:themeColor="background1"/>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5B85F2FD" w14:textId="77777777" w:rsidR="004B2ED9" w:rsidRPr="00732FA0" w:rsidRDefault="004B2ED9" w:rsidP="004B2ED9">
            <w:pPr>
              <w:jc w:val="center"/>
              <w:rPr>
                <w:rFonts w:eastAsia="Times New Roman" w:cs="Times New Roman"/>
                <w:b/>
                <w:bCs/>
                <w:color w:val="FFFFFF" w:themeColor="background1"/>
                <w:sz w:val="22"/>
                <w:szCs w:val="22"/>
                <w:lang w:val="es-MX"/>
              </w:rPr>
            </w:pPr>
            <w:r w:rsidRPr="00732FA0">
              <w:rPr>
                <w:rFonts w:eastAsia="Times New Roman" w:cs="Times New Roman"/>
                <w:b/>
                <w:bCs/>
                <w:color w:val="FFFFFF" w:themeColor="background1"/>
                <w:sz w:val="22"/>
                <w:szCs w:val="22"/>
                <w:lang w:val="es-MX"/>
              </w:rPr>
              <w:t>2024</w:t>
            </w:r>
          </w:p>
        </w:tc>
        <w:tc>
          <w:tcPr>
            <w:tcW w:w="2220"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3CC7BD43" w14:textId="77777777" w:rsidR="004B2ED9" w:rsidRPr="00732FA0" w:rsidRDefault="004B2ED9" w:rsidP="004B2ED9">
            <w:pPr>
              <w:jc w:val="center"/>
              <w:rPr>
                <w:rFonts w:eastAsia="Times New Roman" w:cs="Times New Roman"/>
                <w:b/>
                <w:bCs/>
                <w:color w:val="FFFFFF" w:themeColor="background1"/>
                <w:sz w:val="22"/>
                <w:szCs w:val="22"/>
                <w:lang w:val="es-MX"/>
              </w:rPr>
            </w:pPr>
            <w:r w:rsidRPr="00732FA0">
              <w:rPr>
                <w:rFonts w:eastAsia="Times New Roman" w:cs="Times New Roman"/>
                <w:b/>
                <w:bCs/>
                <w:color w:val="FFFFFF" w:themeColor="background1"/>
                <w:sz w:val="22"/>
                <w:szCs w:val="22"/>
                <w:lang w:val="es-MX"/>
              </w:rPr>
              <w:t>2023</w:t>
            </w:r>
          </w:p>
        </w:tc>
      </w:tr>
      <w:tr w:rsidR="004B2ED9" w:rsidRPr="004B2ED9" w14:paraId="2900E964"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71257FF"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Servicios Personales</w:t>
            </w:r>
          </w:p>
        </w:tc>
        <w:tc>
          <w:tcPr>
            <w:tcW w:w="2240" w:type="dxa"/>
            <w:tcBorders>
              <w:top w:val="nil"/>
              <w:left w:val="nil"/>
              <w:bottom w:val="single" w:sz="8" w:space="0" w:color="auto"/>
              <w:right w:val="single" w:sz="8" w:space="0" w:color="auto"/>
            </w:tcBorders>
            <w:shd w:val="clear" w:color="auto" w:fill="auto"/>
            <w:vAlign w:val="center"/>
            <w:hideMark/>
          </w:tcPr>
          <w:p w14:paraId="65C67A52"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8,041,268,389</w:t>
            </w:r>
          </w:p>
        </w:tc>
        <w:tc>
          <w:tcPr>
            <w:tcW w:w="2220" w:type="dxa"/>
            <w:tcBorders>
              <w:top w:val="nil"/>
              <w:left w:val="nil"/>
              <w:bottom w:val="single" w:sz="8" w:space="0" w:color="auto"/>
              <w:right w:val="single" w:sz="8" w:space="0" w:color="auto"/>
            </w:tcBorders>
            <w:shd w:val="clear" w:color="auto" w:fill="auto"/>
            <w:vAlign w:val="center"/>
            <w:hideMark/>
          </w:tcPr>
          <w:p w14:paraId="0A4F8DD5"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7,084,257,273</w:t>
            </w:r>
          </w:p>
        </w:tc>
      </w:tr>
      <w:tr w:rsidR="004B2ED9" w:rsidRPr="004B2ED9" w14:paraId="70C281D5"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23065FF8"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Materiales y Suministros</w:t>
            </w:r>
          </w:p>
        </w:tc>
        <w:tc>
          <w:tcPr>
            <w:tcW w:w="2240" w:type="dxa"/>
            <w:tcBorders>
              <w:top w:val="nil"/>
              <w:left w:val="nil"/>
              <w:bottom w:val="single" w:sz="8" w:space="0" w:color="auto"/>
              <w:right w:val="single" w:sz="8" w:space="0" w:color="auto"/>
            </w:tcBorders>
            <w:shd w:val="clear" w:color="auto" w:fill="auto"/>
            <w:vAlign w:val="center"/>
            <w:hideMark/>
          </w:tcPr>
          <w:p w14:paraId="469C813D"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1,033,168,094</w:t>
            </w:r>
          </w:p>
        </w:tc>
        <w:tc>
          <w:tcPr>
            <w:tcW w:w="2220" w:type="dxa"/>
            <w:tcBorders>
              <w:top w:val="nil"/>
              <w:left w:val="nil"/>
              <w:bottom w:val="single" w:sz="8" w:space="0" w:color="auto"/>
              <w:right w:val="single" w:sz="8" w:space="0" w:color="auto"/>
            </w:tcBorders>
            <w:shd w:val="clear" w:color="auto" w:fill="auto"/>
            <w:vAlign w:val="center"/>
            <w:hideMark/>
          </w:tcPr>
          <w:p w14:paraId="7D16DA52"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994,749,753</w:t>
            </w:r>
          </w:p>
        </w:tc>
      </w:tr>
      <w:tr w:rsidR="004B2ED9" w:rsidRPr="004B2ED9" w14:paraId="3455F3D0"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70FBC6EE"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Servicios Generales</w:t>
            </w:r>
          </w:p>
        </w:tc>
        <w:tc>
          <w:tcPr>
            <w:tcW w:w="2240" w:type="dxa"/>
            <w:tcBorders>
              <w:top w:val="nil"/>
              <w:left w:val="nil"/>
              <w:bottom w:val="single" w:sz="8" w:space="0" w:color="auto"/>
              <w:right w:val="single" w:sz="8" w:space="0" w:color="auto"/>
            </w:tcBorders>
            <w:shd w:val="clear" w:color="auto" w:fill="auto"/>
            <w:vAlign w:val="center"/>
            <w:hideMark/>
          </w:tcPr>
          <w:p w14:paraId="060B90BA"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3,130,857,995</w:t>
            </w:r>
          </w:p>
        </w:tc>
        <w:tc>
          <w:tcPr>
            <w:tcW w:w="2220" w:type="dxa"/>
            <w:tcBorders>
              <w:top w:val="nil"/>
              <w:left w:val="nil"/>
              <w:bottom w:val="single" w:sz="8" w:space="0" w:color="auto"/>
              <w:right w:val="single" w:sz="8" w:space="0" w:color="auto"/>
            </w:tcBorders>
            <w:shd w:val="clear" w:color="auto" w:fill="auto"/>
            <w:vAlign w:val="center"/>
            <w:hideMark/>
          </w:tcPr>
          <w:p w14:paraId="04BBD138"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2,618,294,829</w:t>
            </w:r>
          </w:p>
        </w:tc>
      </w:tr>
      <w:tr w:rsidR="004B2ED9" w:rsidRPr="004B2ED9" w14:paraId="491FC362" w14:textId="77777777" w:rsidTr="004B2ED9">
        <w:trPr>
          <w:trHeight w:val="66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60773B51"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Transferencias Internas y Asignaciones al Sector Público</w:t>
            </w:r>
          </w:p>
        </w:tc>
        <w:tc>
          <w:tcPr>
            <w:tcW w:w="2240" w:type="dxa"/>
            <w:tcBorders>
              <w:top w:val="nil"/>
              <w:left w:val="nil"/>
              <w:bottom w:val="single" w:sz="8" w:space="0" w:color="auto"/>
              <w:right w:val="single" w:sz="8" w:space="0" w:color="auto"/>
            </w:tcBorders>
            <w:shd w:val="clear" w:color="auto" w:fill="auto"/>
            <w:vAlign w:val="center"/>
            <w:hideMark/>
          </w:tcPr>
          <w:p w14:paraId="592B7A93"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4,388,928</w:t>
            </w:r>
          </w:p>
        </w:tc>
        <w:tc>
          <w:tcPr>
            <w:tcW w:w="2220" w:type="dxa"/>
            <w:tcBorders>
              <w:top w:val="nil"/>
              <w:left w:val="nil"/>
              <w:bottom w:val="single" w:sz="8" w:space="0" w:color="auto"/>
              <w:right w:val="single" w:sz="8" w:space="0" w:color="auto"/>
            </w:tcBorders>
            <w:shd w:val="clear" w:color="auto" w:fill="auto"/>
            <w:vAlign w:val="center"/>
            <w:hideMark/>
          </w:tcPr>
          <w:p w14:paraId="740A45AC"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2,681,040</w:t>
            </w:r>
          </w:p>
        </w:tc>
      </w:tr>
      <w:tr w:rsidR="004B2ED9" w:rsidRPr="004B2ED9" w14:paraId="6CD73863" w14:textId="77777777" w:rsidTr="00C643E7">
        <w:trPr>
          <w:trHeight w:val="330"/>
        </w:trPr>
        <w:tc>
          <w:tcPr>
            <w:tcW w:w="4480" w:type="dxa"/>
            <w:tcBorders>
              <w:top w:val="nil"/>
              <w:left w:val="single" w:sz="8" w:space="0" w:color="auto"/>
              <w:bottom w:val="single" w:sz="4" w:space="0" w:color="auto"/>
              <w:right w:val="single" w:sz="8" w:space="0" w:color="auto"/>
            </w:tcBorders>
            <w:shd w:val="clear" w:color="auto" w:fill="auto"/>
            <w:vAlign w:val="center"/>
            <w:hideMark/>
          </w:tcPr>
          <w:p w14:paraId="62974FA8"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Transferencias al Resto del Sector Público</w:t>
            </w:r>
          </w:p>
        </w:tc>
        <w:tc>
          <w:tcPr>
            <w:tcW w:w="2240" w:type="dxa"/>
            <w:tcBorders>
              <w:top w:val="nil"/>
              <w:left w:val="nil"/>
              <w:bottom w:val="single" w:sz="4" w:space="0" w:color="auto"/>
              <w:right w:val="single" w:sz="8" w:space="0" w:color="auto"/>
            </w:tcBorders>
            <w:shd w:val="clear" w:color="auto" w:fill="auto"/>
            <w:vAlign w:val="center"/>
            <w:hideMark/>
          </w:tcPr>
          <w:p w14:paraId="61D7BDB1"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157,829,202</w:t>
            </w:r>
          </w:p>
        </w:tc>
        <w:tc>
          <w:tcPr>
            <w:tcW w:w="2220" w:type="dxa"/>
            <w:tcBorders>
              <w:top w:val="nil"/>
              <w:left w:val="nil"/>
              <w:bottom w:val="single" w:sz="4" w:space="0" w:color="auto"/>
              <w:right w:val="single" w:sz="8" w:space="0" w:color="auto"/>
            </w:tcBorders>
            <w:shd w:val="clear" w:color="auto" w:fill="auto"/>
            <w:vAlign w:val="center"/>
            <w:hideMark/>
          </w:tcPr>
          <w:p w14:paraId="2C950B17"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213,407,298</w:t>
            </w:r>
          </w:p>
        </w:tc>
      </w:tr>
      <w:tr w:rsidR="004B2ED9" w:rsidRPr="004B2ED9" w14:paraId="392D10CB" w14:textId="77777777" w:rsidTr="00C643E7">
        <w:trPr>
          <w:trHeight w:val="330"/>
        </w:trPr>
        <w:tc>
          <w:tcPr>
            <w:tcW w:w="448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79B0F4D"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Subsidios y Subvenciones</w:t>
            </w:r>
          </w:p>
        </w:tc>
        <w:tc>
          <w:tcPr>
            <w:tcW w:w="2240" w:type="dxa"/>
            <w:tcBorders>
              <w:top w:val="single" w:sz="4" w:space="0" w:color="auto"/>
              <w:left w:val="nil"/>
              <w:bottom w:val="single" w:sz="8" w:space="0" w:color="auto"/>
              <w:right w:val="single" w:sz="8" w:space="0" w:color="auto"/>
            </w:tcBorders>
            <w:shd w:val="clear" w:color="auto" w:fill="auto"/>
            <w:vAlign w:val="center"/>
            <w:hideMark/>
          </w:tcPr>
          <w:p w14:paraId="32A6AEA7"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49,769,815</w:t>
            </w:r>
          </w:p>
        </w:tc>
        <w:tc>
          <w:tcPr>
            <w:tcW w:w="2220" w:type="dxa"/>
            <w:tcBorders>
              <w:top w:val="single" w:sz="4" w:space="0" w:color="auto"/>
              <w:left w:val="nil"/>
              <w:bottom w:val="single" w:sz="8" w:space="0" w:color="auto"/>
              <w:right w:val="single" w:sz="8" w:space="0" w:color="auto"/>
            </w:tcBorders>
            <w:shd w:val="clear" w:color="auto" w:fill="auto"/>
            <w:vAlign w:val="center"/>
            <w:hideMark/>
          </w:tcPr>
          <w:p w14:paraId="3F87008E"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45,549,950</w:t>
            </w:r>
          </w:p>
        </w:tc>
      </w:tr>
      <w:tr w:rsidR="004B2ED9" w:rsidRPr="004B2ED9" w14:paraId="5344AFEB"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0EA00FC"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Ayudas Sociales</w:t>
            </w:r>
          </w:p>
        </w:tc>
        <w:tc>
          <w:tcPr>
            <w:tcW w:w="2240" w:type="dxa"/>
            <w:tcBorders>
              <w:top w:val="nil"/>
              <w:left w:val="nil"/>
              <w:bottom w:val="single" w:sz="8" w:space="0" w:color="auto"/>
              <w:right w:val="single" w:sz="8" w:space="0" w:color="auto"/>
            </w:tcBorders>
            <w:shd w:val="clear" w:color="auto" w:fill="auto"/>
            <w:vAlign w:val="center"/>
            <w:hideMark/>
          </w:tcPr>
          <w:p w14:paraId="7C3470BA"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806,403,866</w:t>
            </w:r>
          </w:p>
        </w:tc>
        <w:tc>
          <w:tcPr>
            <w:tcW w:w="2220" w:type="dxa"/>
            <w:tcBorders>
              <w:top w:val="nil"/>
              <w:left w:val="nil"/>
              <w:bottom w:val="single" w:sz="8" w:space="0" w:color="auto"/>
              <w:right w:val="single" w:sz="8" w:space="0" w:color="auto"/>
            </w:tcBorders>
            <w:shd w:val="clear" w:color="auto" w:fill="auto"/>
            <w:vAlign w:val="center"/>
            <w:hideMark/>
          </w:tcPr>
          <w:p w14:paraId="02D57DB8"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582,750,782</w:t>
            </w:r>
          </w:p>
        </w:tc>
      </w:tr>
      <w:tr w:rsidR="004B2ED9" w:rsidRPr="004B2ED9" w14:paraId="74A92607"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D1DAD6F"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Pensiones y Jubilaciones</w:t>
            </w:r>
          </w:p>
        </w:tc>
        <w:tc>
          <w:tcPr>
            <w:tcW w:w="2240" w:type="dxa"/>
            <w:tcBorders>
              <w:top w:val="nil"/>
              <w:left w:val="nil"/>
              <w:bottom w:val="single" w:sz="8" w:space="0" w:color="auto"/>
              <w:right w:val="single" w:sz="8" w:space="0" w:color="auto"/>
            </w:tcBorders>
            <w:shd w:val="clear" w:color="auto" w:fill="auto"/>
            <w:vAlign w:val="center"/>
            <w:hideMark/>
          </w:tcPr>
          <w:p w14:paraId="46932463"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612,197,562</w:t>
            </w:r>
          </w:p>
        </w:tc>
        <w:tc>
          <w:tcPr>
            <w:tcW w:w="2220" w:type="dxa"/>
            <w:tcBorders>
              <w:top w:val="nil"/>
              <w:left w:val="nil"/>
              <w:bottom w:val="single" w:sz="8" w:space="0" w:color="auto"/>
              <w:right w:val="single" w:sz="8" w:space="0" w:color="auto"/>
            </w:tcBorders>
            <w:shd w:val="clear" w:color="auto" w:fill="auto"/>
            <w:vAlign w:val="center"/>
            <w:hideMark/>
          </w:tcPr>
          <w:p w14:paraId="15E7B220"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521,335,722</w:t>
            </w:r>
          </w:p>
        </w:tc>
      </w:tr>
      <w:tr w:rsidR="004B2ED9" w:rsidRPr="004B2ED9" w14:paraId="6CBC3EAF" w14:textId="77777777" w:rsidTr="004B2ED9">
        <w:trPr>
          <w:trHeight w:val="645"/>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824C16C"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Transferencias a Fideicomisos, Mandatos y Contratos Análogos</w:t>
            </w:r>
          </w:p>
        </w:tc>
        <w:tc>
          <w:tcPr>
            <w:tcW w:w="2240" w:type="dxa"/>
            <w:tcBorders>
              <w:top w:val="nil"/>
              <w:left w:val="nil"/>
              <w:bottom w:val="single" w:sz="8" w:space="0" w:color="auto"/>
              <w:right w:val="single" w:sz="8" w:space="0" w:color="auto"/>
            </w:tcBorders>
            <w:shd w:val="clear" w:color="auto" w:fill="auto"/>
            <w:vAlign w:val="center"/>
            <w:hideMark/>
          </w:tcPr>
          <w:p w14:paraId="551D0ED8"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268,081,088</w:t>
            </w:r>
          </w:p>
        </w:tc>
        <w:tc>
          <w:tcPr>
            <w:tcW w:w="2220" w:type="dxa"/>
            <w:tcBorders>
              <w:top w:val="nil"/>
              <w:left w:val="nil"/>
              <w:bottom w:val="single" w:sz="8" w:space="0" w:color="auto"/>
              <w:right w:val="single" w:sz="8" w:space="0" w:color="auto"/>
            </w:tcBorders>
            <w:shd w:val="clear" w:color="auto" w:fill="auto"/>
            <w:vAlign w:val="center"/>
            <w:hideMark/>
          </w:tcPr>
          <w:p w14:paraId="56CF60AA"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222,867,990</w:t>
            </w:r>
          </w:p>
        </w:tc>
      </w:tr>
      <w:tr w:rsidR="004B2ED9" w:rsidRPr="004B2ED9" w14:paraId="67E65400"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CBDB31E"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Participaciones</w:t>
            </w:r>
          </w:p>
        </w:tc>
        <w:tc>
          <w:tcPr>
            <w:tcW w:w="2240" w:type="dxa"/>
            <w:tcBorders>
              <w:top w:val="nil"/>
              <w:left w:val="nil"/>
              <w:bottom w:val="single" w:sz="8" w:space="0" w:color="auto"/>
              <w:right w:val="single" w:sz="8" w:space="0" w:color="auto"/>
            </w:tcBorders>
            <w:shd w:val="clear" w:color="auto" w:fill="auto"/>
            <w:vAlign w:val="center"/>
            <w:hideMark/>
          </w:tcPr>
          <w:p w14:paraId="648D3CF8"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8,359,095,113</w:t>
            </w:r>
          </w:p>
        </w:tc>
        <w:tc>
          <w:tcPr>
            <w:tcW w:w="2220" w:type="dxa"/>
            <w:tcBorders>
              <w:top w:val="nil"/>
              <w:left w:val="nil"/>
              <w:bottom w:val="single" w:sz="8" w:space="0" w:color="auto"/>
              <w:right w:val="single" w:sz="8" w:space="0" w:color="auto"/>
            </w:tcBorders>
            <w:shd w:val="clear" w:color="auto" w:fill="auto"/>
            <w:vAlign w:val="center"/>
            <w:hideMark/>
          </w:tcPr>
          <w:p w14:paraId="1968E358"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7,811,057,529</w:t>
            </w:r>
          </w:p>
        </w:tc>
      </w:tr>
      <w:tr w:rsidR="004B2ED9" w:rsidRPr="004B2ED9" w14:paraId="1EFFAA09"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A316436"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Aportaciones</w:t>
            </w:r>
          </w:p>
        </w:tc>
        <w:tc>
          <w:tcPr>
            <w:tcW w:w="2240" w:type="dxa"/>
            <w:tcBorders>
              <w:top w:val="nil"/>
              <w:left w:val="nil"/>
              <w:bottom w:val="single" w:sz="8" w:space="0" w:color="auto"/>
              <w:right w:val="single" w:sz="8" w:space="0" w:color="auto"/>
            </w:tcBorders>
            <w:shd w:val="clear" w:color="auto" w:fill="auto"/>
            <w:vAlign w:val="center"/>
            <w:hideMark/>
          </w:tcPr>
          <w:p w14:paraId="23DE27C9"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13,112,333,706</w:t>
            </w:r>
          </w:p>
        </w:tc>
        <w:tc>
          <w:tcPr>
            <w:tcW w:w="2220" w:type="dxa"/>
            <w:tcBorders>
              <w:top w:val="nil"/>
              <w:left w:val="nil"/>
              <w:bottom w:val="single" w:sz="8" w:space="0" w:color="auto"/>
              <w:right w:val="single" w:sz="8" w:space="0" w:color="auto"/>
            </w:tcBorders>
            <w:shd w:val="clear" w:color="auto" w:fill="auto"/>
            <w:vAlign w:val="center"/>
            <w:hideMark/>
          </w:tcPr>
          <w:p w14:paraId="1CA91E64"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12,361,488,349</w:t>
            </w:r>
          </w:p>
        </w:tc>
      </w:tr>
      <w:tr w:rsidR="004B2ED9" w:rsidRPr="004B2ED9" w14:paraId="32A6A3A8"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512AEE97"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Convenios</w:t>
            </w:r>
          </w:p>
        </w:tc>
        <w:tc>
          <w:tcPr>
            <w:tcW w:w="2240" w:type="dxa"/>
            <w:tcBorders>
              <w:top w:val="nil"/>
              <w:left w:val="nil"/>
              <w:bottom w:val="single" w:sz="8" w:space="0" w:color="auto"/>
              <w:right w:val="single" w:sz="8" w:space="0" w:color="auto"/>
            </w:tcBorders>
            <w:shd w:val="clear" w:color="auto" w:fill="auto"/>
            <w:vAlign w:val="center"/>
            <w:hideMark/>
          </w:tcPr>
          <w:p w14:paraId="770FF018"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48,136,750</w:t>
            </w:r>
          </w:p>
        </w:tc>
        <w:tc>
          <w:tcPr>
            <w:tcW w:w="2220" w:type="dxa"/>
            <w:tcBorders>
              <w:top w:val="nil"/>
              <w:left w:val="nil"/>
              <w:bottom w:val="single" w:sz="8" w:space="0" w:color="auto"/>
              <w:right w:val="single" w:sz="8" w:space="0" w:color="auto"/>
            </w:tcBorders>
            <w:shd w:val="clear" w:color="auto" w:fill="auto"/>
            <w:vAlign w:val="center"/>
            <w:hideMark/>
          </w:tcPr>
          <w:p w14:paraId="397AAF5F"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46,205,067</w:t>
            </w:r>
          </w:p>
        </w:tc>
      </w:tr>
      <w:tr w:rsidR="004B2ED9" w:rsidRPr="004B2ED9" w14:paraId="5907D721"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DE13D32"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Intereses de la Deuda Pública</w:t>
            </w:r>
          </w:p>
        </w:tc>
        <w:tc>
          <w:tcPr>
            <w:tcW w:w="2240" w:type="dxa"/>
            <w:tcBorders>
              <w:top w:val="nil"/>
              <w:left w:val="nil"/>
              <w:bottom w:val="single" w:sz="8" w:space="0" w:color="auto"/>
              <w:right w:val="single" w:sz="8" w:space="0" w:color="auto"/>
            </w:tcBorders>
            <w:shd w:val="clear" w:color="auto" w:fill="auto"/>
            <w:vAlign w:val="center"/>
            <w:hideMark/>
          </w:tcPr>
          <w:p w14:paraId="04F586DA"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1,898,888,585</w:t>
            </w:r>
          </w:p>
        </w:tc>
        <w:tc>
          <w:tcPr>
            <w:tcW w:w="2220" w:type="dxa"/>
            <w:tcBorders>
              <w:top w:val="nil"/>
              <w:left w:val="nil"/>
              <w:bottom w:val="single" w:sz="8" w:space="0" w:color="auto"/>
              <w:right w:val="single" w:sz="8" w:space="0" w:color="auto"/>
            </w:tcBorders>
            <w:shd w:val="clear" w:color="auto" w:fill="auto"/>
            <w:vAlign w:val="center"/>
            <w:hideMark/>
          </w:tcPr>
          <w:p w14:paraId="5A430AF2"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1,955,686,880</w:t>
            </w:r>
          </w:p>
        </w:tc>
      </w:tr>
      <w:tr w:rsidR="004B2ED9" w:rsidRPr="004B2ED9" w14:paraId="7274FD63"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CD4F870"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Gastos de la Deuda Pública</w:t>
            </w:r>
          </w:p>
        </w:tc>
        <w:tc>
          <w:tcPr>
            <w:tcW w:w="2240" w:type="dxa"/>
            <w:tcBorders>
              <w:top w:val="nil"/>
              <w:left w:val="nil"/>
              <w:bottom w:val="single" w:sz="8" w:space="0" w:color="auto"/>
              <w:right w:val="single" w:sz="8" w:space="0" w:color="auto"/>
            </w:tcBorders>
            <w:shd w:val="clear" w:color="auto" w:fill="auto"/>
            <w:vAlign w:val="center"/>
            <w:hideMark/>
          </w:tcPr>
          <w:p w14:paraId="314BA64C"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368,408,353</w:t>
            </w:r>
          </w:p>
        </w:tc>
        <w:tc>
          <w:tcPr>
            <w:tcW w:w="2220" w:type="dxa"/>
            <w:tcBorders>
              <w:top w:val="nil"/>
              <w:left w:val="nil"/>
              <w:bottom w:val="single" w:sz="8" w:space="0" w:color="auto"/>
              <w:right w:val="single" w:sz="8" w:space="0" w:color="auto"/>
            </w:tcBorders>
            <w:shd w:val="clear" w:color="auto" w:fill="auto"/>
            <w:vAlign w:val="center"/>
            <w:hideMark/>
          </w:tcPr>
          <w:p w14:paraId="3E3781A2"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129,452,821</w:t>
            </w:r>
          </w:p>
        </w:tc>
      </w:tr>
      <w:tr w:rsidR="004B2ED9" w:rsidRPr="004B2ED9" w14:paraId="0C931983" w14:textId="77777777" w:rsidTr="004B2ED9">
        <w:trPr>
          <w:trHeight w:val="645"/>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D29C17E"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Estimaciones, Depreciaciones, Deterioros, Obsolescencia y Amortizaciones</w:t>
            </w:r>
          </w:p>
        </w:tc>
        <w:tc>
          <w:tcPr>
            <w:tcW w:w="2240" w:type="dxa"/>
            <w:tcBorders>
              <w:top w:val="nil"/>
              <w:left w:val="nil"/>
              <w:bottom w:val="single" w:sz="8" w:space="0" w:color="auto"/>
              <w:right w:val="single" w:sz="8" w:space="0" w:color="auto"/>
            </w:tcBorders>
            <w:shd w:val="clear" w:color="auto" w:fill="auto"/>
            <w:vAlign w:val="center"/>
            <w:hideMark/>
          </w:tcPr>
          <w:p w14:paraId="15F0C270"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389,315,519</w:t>
            </w:r>
          </w:p>
        </w:tc>
        <w:tc>
          <w:tcPr>
            <w:tcW w:w="2220" w:type="dxa"/>
            <w:tcBorders>
              <w:top w:val="nil"/>
              <w:left w:val="nil"/>
              <w:bottom w:val="single" w:sz="8" w:space="0" w:color="auto"/>
              <w:right w:val="single" w:sz="8" w:space="0" w:color="auto"/>
            </w:tcBorders>
            <w:shd w:val="clear" w:color="auto" w:fill="auto"/>
            <w:vAlign w:val="center"/>
            <w:hideMark/>
          </w:tcPr>
          <w:p w14:paraId="505FF6FD"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285,077,833</w:t>
            </w:r>
          </w:p>
        </w:tc>
      </w:tr>
      <w:tr w:rsidR="004B2ED9" w:rsidRPr="004B2ED9" w14:paraId="55EAA8DC"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24662A7"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Inversión Pública no Capitalizable</w:t>
            </w:r>
          </w:p>
        </w:tc>
        <w:tc>
          <w:tcPr>
            <w:tcW w:w="2240" w:type="dxa"/>
            <w:tcBorders>
              <w:top w:val="nil"/>
              <w:left w:val="nil"/>
              <w:bottom w:val="single" w:sz="8" w:space="0" w:color="auto"/>
              <w:right w:val="single" w:sz="8" w:space="0" w:color="auto"/>
            </w:tcBorders>
            <w:shd w:val="clear" w:color="auto" w:fill="auto"/>
            <w:vAlign w:val="center"/>
            <w:hideMark/>
          </w:tcPr>
          <w:p w14:paraId="61434CA6"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1,011,745,016</w:t>
            </w:r>
          </w:p>
        </w:tc>
        <w:tc>
          <w:tcPr>
            <w:tcW w:w="2220" w:type="dxa"/>
            <w:tcBorders>
              <w:top w:val="nil"/>
              <w:left w:val="nil"/>
              <w:bottom w:val="single" w:sz="8" w:space="0" w:color="auto"/>
              <w:right w:val="single" w:sz="8" w:space="0" w:color="auto"/>
            </w:tcBorders>
            <w:shd w:val="clear" w:color="auto" w:fill="auto"/>
            <w:vAlign w:val="center"/>
            <w:hideMark/>
          </w:tcPr>
          <w:p w14:paraId="6DE06E0C"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351,888,408</w:t>
            </w:r>
          </w:p>
        </w:tc>
      </w:tr>
      <w:tr w:rsidR="004B2ED9" w:rsidRPr="004B2ED9" w14:paraId="71C486B1"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265CEC58"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Total de Gastos y Otras Pérdidas</w:t>
            </w:r>
          </w:p>
        </w:tc>
        <w:tc>
          <w:tcPr>
            <w:tcW w:w="2240" w:type="dxa"/>
            <w:tcBorders>
              <w:top w:val="nil"/>
              <w:left w:val="nil"/>
              <w:bottom w:val="single" w:sz="8" w:space="0" w:color="auto"/>
              <w:right w:val="single" w:sz="8" w:space="0" w:color="auto"/>
            </w:tcBorders>
            <w:shd w:val="clear" w:color="auto" w:fill="auto"/>
            <w:vAlign w:val="center"/>
            <w:hideMark/>
          </w:tcPr>
          <w:p w14:paraId="55E3BF70" w14:textId="77777777" w:rsidR="004B2ED9" w:rsidRPr="004B2ED9" w:rsidRDefault="004B2ED9" w:rsidP="004B2ED9">
            <w:pPr>
              <w:jc w:val="right"/>
              <w:rPr>
                <w:rFonts w:ascii="Times New Roman" w:eastAsia="Times New Roman" w:hAnsi="Times New Roman" w:cs="Times New Roman"/>
                <w:b/>
                <w:bCs/>
                <w:color w:val="000000"/>
                <w:lang w:val="es-MX"/>
              </w:rPr>
            </w:pPr>
            <w:r w:rsidRPr="004B2ED9">
              <w:rPr>
                <w:rFonts w:ascii="Times New Roman" w:eastAsia="Times New Roman" w:hAnsi="Times New Roman" w:cs="Times New Roman"/>
                <w:b/>
                <w:bCs/>
                <w:color w:val="000000"/>
                <w:lang w:val="es-MX"/>
              </w:rPr>
              <w:t>39,291,887,980</w:t>
            </w:r>
          </w:p>
        </w:tc>
        <w:tc>
          <w:tcPr>
            <w:tcW w:w="2220" w:type="dxa"/>
            <w:tcBorders>
              <w:top w:val="nil"/>
              <w:left w:val="nil"/>
              <w:bottom w:val="single" w:sz="8" w:space="0" w:color="auto"/>
              <w:right w:val="single" w:sz="8" w:space="0" w:color="auto"/>
            </w:tcBorders>
            <w:shd w:val="clear" w:color="auto" w:fill="auto"/>
            <w:vAlign w:val="center"/>
            <w:hideMark/>
          </w:tcPr>
          <w:p w14:paraId="1D3412DE" w14:textId="77777777" w:rsidR="004B2ED9" w:rsidRPr="004B2ED9" w:rsidRDefault="004B2ED9" w:rsidP="004B2ED9">
            <w:pPr>
              <w:jc w:val="right"/>
              <w:rPr>
                <w:rFonts w:ascii="Times New Roman" w:eastAsia="Times New Roman" w:hAnsi="Times New Roman" w:cs="Times New Roman"/>
                <w:b/>
                <w:bCs/>
                <w:color w:val="000000"/>
                <w:lang w:val="es-MX"/>
              </w:rPr>
            </w:pPr>
            <w:r w:rsidRPr="004B2ED9">
              <w:rPr>
                <w:rFonts w:ascii="Times New Roman" w:eastAsia="Times New Roman" w:hAnsi="Times New Roman" w:cs="Times New Roman"/>
                <w:b/>
                <w:bCs/>
                <w:color w:val="000000"/>
                <w:lang w:val="es-MX"/>
              </w:rPr>
              <w:t>35,226,751,523</w:t>
            </w:r>
          </w:p>
        </w:tc>
      </w:tr>
    </w:tbl>
    <w:p w14:paraId="39C88B9D" w14:textId="77777777" w:rsidR="00926C5C" w:rsidRPr="00192892" w:rsidRDefault="00926C5C" w:rsidP="00926C5C">
      <w:pPr>
        <w:rPr>
          <w:rFonts w:ascii="Montserrat" w:hAnsi="Montserrat"/>
          <w:b/>
          <w:bCs/>
          <w:color w:val="000000"/>
          <w:sz w:val="22"/>
          <w:szCs w:val="22"/>
        </w:rPr>
      </w:pPr>
    </w:p>
    <w:p w14:paraId="5DA0CBB8" w14:textId="77777777" w:rsidR="00926C5C" w:rsidRPr="00192892" w:rsidRDefault="00926C5C" w:rsidP="00926C5C">
      <w:pPr>
        <w:spacing w:line="224" w:lineRule="exact"/>
        <w:ind w:left="720"/>
        <w:jc w:val="both"/>
        <w:rPr>
          <w:rFonts w:ascii="Montserrat" w:hAnsi="Montserrat" w:cs="Arial"/>
          <w:b/>
          <w:sz w:val="22"/>
          <w:szCs w:val="22"/>
          <w:lang w:val="es-MX"/>
        </w:rPr>
      </w:pPr>
    </w:p>
    <w:p w14:paraId="7CB428D5" w14:textId="77777777" w:rsidR="00926C5C" w:rsidRPr="00192892" w:rsidRDefault="00926C5C" w:rsidP="00926C5C">
      <w:pPr>
        <w:spacing w:line="224" w:lineRule="exact"/>
        <w:jc w:val="both"/>
        <w:rPr>
          <w:rFonts w:ascii="Montserrat" w:hAnsi="Montserrat"/>
          <w:b/>
          <w:color w:val="000000"/>
          <w:sz w:val="22"/>
          <w:szCs w:val="22"/>
        </w:rPr>
      </w:pPr>
      <w:bookmarkStart w:id="10" w:name="_Hlk157387576"/>
      <w:r w:rsidRPr="00192892">
        <w:rPr>
          <w:rFonts w:ascii="Montserrat" w:hAnsi="Montserrat"/>
          <w:b/>
          <w:color w:val="000000"/>
          <w:sz w:val="22"/>
          <w:szCs w:val="22"/>
        </w:rPr>
        <w:t>Nota 3.- Resultados del Ejercicio (Ahorro / Desahorro):</w:t>
      </w:r>
      <w:bookmarkEnd w:id="10"/>
    </w:p>
    <w:p w14:paraId="268F6F2A" w14:textId="77777777" w:rsidR="00926C5C" w:rsidRPr="00192892" w:rsidRDefault="00926C5C" w:rsidP="00926C5C">
      <w:pPr>
        <w:widowControl w:val="0"/>
        <w:jc w:val="both"/>
        <w:rPr>
          <w:rFonts w:ascii="Montserrat" w:hAnsi="Montserrat"/>
          <w:sz w:val="22"/>
          <w:szCs w:val="22"/>
        </w:rPr>
      </w:pPr>
    </w:p>
    <w:p w14:paraId="67A8546E" w14:textId="77777777" w:rsidR="00926C5C" w:rsidRPr="00192892" w:rsidRDefault="00926C5C" w:rsidP="00926C5C">
      <w:pPr>
        <w:widowControl w:val="0"/>
        <w:jc w:val="center"/>
        <w:rPr>
          <w:rFonts w:ascii="Montserrat" w:hAnsi="Montserrat"/>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69252C67"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02150E95" w14:textId="77777777" w:rsidR="004B2ED9" w:rsidRPr="00732FA0" w:rsidRDefault="004B2ED9" w:rsidP="004B2ED9">
            <w:pPr>
              <w:jc w:val="center"/>
              <w:rPr>
                <w:rFonts w:eastAsia="Times New Roman" w:cs="Times New Roman"/>
                <w:b/>
                <w:bCs/>
                <w:color w:val="FFFFFF" w:themeColor="background1"/>
                <w:sz w:val="22"/>
                <w:szCs w:val="22"/>
                <w:lang w:val="es-MX"/>
              </w:rPr>
            </w:pPr>
            <w:r w:rsidRPr="00732FA0">
              <w:rPr>
                <w:rFonts w:eastAsia="Times New Roman" w:cs="Times New Roman"/>
                <w:b/>
                <w:bCs/>
                <w:color w:val="FFFFFF" w:themeColor="background1"/>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7CDD2133" w14:textId="77777777" w:rsidR="004B2ED9" w:rsidRPr="00732FA0" w:rsidRDefault="004B2ED9" w:rsidP="004B2ED9">
            <w:pPr>
              <w:jc w:val="center"/>
              <w:rPr>
                <w:rFonts w:eastAsia="Times New Roman" w:cs="Times New Roman"/>
                <w:b/>
                <w:bCs/>
                <w:color w:val="FFFFFF" w:themeColor="background1"/>
                <w:sz w:val="22"/>
                <w:szCs w:val="22"/>
                <w:lang w:val="es-MX"/>
              </w:rPr>
            </w:pPr>
            <w:r w:rsidRPr="00732FA0">
              <w:rPr>
                <w:rFonts w:eastAsia="Times New Roman" w:cs="Times New Roman"/>
                <w:b/>
                <w:bCs/>
                <w:color w:val="FFFFFF" w:themeColor="background1"/>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4A4F8EC6" w14:textId="77777777" w:rsidR="004B2ED9" w:rsidRPr="00732FA0" w:rsidRDefault="004B2ED9" w:rsidP="004B2ED9">
            <w:pPr>
              <w:jc w:val="center"/>
              <w:rPr>
                <w:rFonts w:eastAsia="Times New Roman" w:cs="Times New Roman"/>
                <w:b/>
                <w:bCs/>
                <w:color w:val="FFFFFF" w:themeColor="background1"/>
                <w:sz w:val="22"/>
                <w:szCs w:val="22"/>
                <w:lang w:val="es-MX"/>
              </w:rPr>
            </w:pPr>
            <w:r w:rsidRPr="00732FA0">
              <w:rPr>
                <w:rFonts w:eastAsia="Times New Roman" w:cs="Times New Roman"/>
                <w:b/>
                <w:bCs/>
                <w:color w:val="FFFFFF" w:themeColor="background1"/>
                <w:sz w:val="22"/>
                <w:szCs w:val="22"/>
                <w:lang w:val="es-MX"/>
              </w:rPr>
              <w:t>2023</w:t>
            </w:r>
          </w:p>
        </w:tc>
      </w:tr>
      <w:tr w:rsidR="004B2ED9" w:rsidRPr="004B2ED9" w14:paraId="78670198"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52254987"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Resultados del Ejercicio (Ahorro / Desahorro)</w:t>
            </w:r>
          </w:p>
        </w:tc>
        <w:tc>
          <w:tcPr>
            <w:tcW w:w="2240" w:type="dxa"/>
            <w:tcBorders>
              <w:top w:val="nil"/>
              <w:left w:val="nil"/>
              <w:bottom w:val="single" w:sz="8" w:space="0" w:color="auto"/>
              <w:right w:val="single" w:sz="8" w:space="0" w:color="auto"/>
            </w:tcBorders>
            <w:shd w:val="clear" w:color="000000" w:fill="FFFFFF"/>
            <w:noWrap/>
            <w:vAlign w:val="center"/>
            <w:hideMark/>
          </w:tcPr>
          <w:p w14:paraId="7B829F46"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1,822,952,366</w:t>
            </w:r>
          </w:p>
        </w:tc>
        <w:tc>
          <w:tcPr>
            <w:tcW w:w="2220" w:type="dxa"/>
            <w:tcBorders>
              <w:top w:val="nil"/>
              <w:left w:val="nil"/>
              <w:bottom w:val="single" w:sz="8" w:space="0" w:color="auto"/>
              <w:right w:val="single" w:sz="8" w:space="0" w:color="auto"/>
            </w:tcBorders>
            <w:shd w:val="clear" w:color="000000" w:fill="FFFFFF"/>
            <w:noWrap/>
            <w:vAlign w:val="center"/>
            <w:hideMark/>
          </w:tcPr>
          <w:p w14:paraId="5D253B76"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5,353,953,008</w:t>
            </w:r>
          </w:p>
        </w:tc>
      </w:tr>
      <w:tr w:rsidR="004B2ED9" w:rsidRPr="004B2ED9" w14:paraId="6AAA3CF4"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22B51B5B"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18E744B5"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1,822,952,366</w:t>
            </w:r>
          </w:p>
        </w:tc>
        <w:tc>
          <w:tcPr>
            <w:tcW w:w="2220" w:type="dxa"/>
            <w:tcBorders>
              <w:top w:val="nil"/>
              <w:left w:val="nil"/>
              <w:bottom w:val="single" w:sz="8" w:space="0" w:color="auto"/>
              <w:right w:val="single" w:sz="8" w:space="0" w:color="auto"/>
            </w:tcBorders>
            <w:shd w:val="clear" w:color="000000" w:fill="FFFFFF"/>
            <w:noWrap/>
            <w:vAlign w:val="center"/>
            <w:hideMark/>
          </w:tcPr>
          <w:p w14:paraId="7B4394A3"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5,353,953,008</w:t>
            </w:r>
          </w:p>
        </w:tc>
      </w:tr>
    </w:tbl>
    <w:p w14:paraId="3DCADF2F" w14:textId="77777777" w:rsidR="00926C5C" w:rsidRPr="00192892" w:rsidRDefault="00926C5C" w:rsidP="00926C5C">
      <w:pPr>
        <w:widowControl w:val="0"/>
        <w:jc w:val="both"/>
        <w:rPr>
          <w:rFonts w:ascii="Montserrat" w:hAnsi="Montserrat"/>
          <w:b/>
          <w:sz w:val="22"/>
          <w:szCs w:val="22"/>
        </w:rPr>
      </w:pPr>
    </w:p>
    <w:p w14:paraId="151664E6" w14:textId="77777777" w:rsidR="00B9559F" w:rsidRPr="00192892" w:rsidRDefault="00B9559F" w:rsidP="00B9559F">
      <w:pPr>
        <w:rPr>
          <w:rFonts w:ascii="Montserrat" w:hAnsi="Montserrat"/>
          <w:b/>
          <w:bCs/>
          <w:sz w:val="22"/>
          <w:szCs w:val="22"/>
        </w:rPr>
      </w:pPr>
      <w:bookmarkStart w:id="11" w:name="_Hlk157388587"/>
    </w:p>
    <w:p w14:paraId="52D64420" w14:textId="77777777" w:rsidR="005F14C8" w:rsidRDefault="005F14C8">
      <w:pPr>
        <w:rPr>
          <w:rFonts w:ascii="Montserrat" w:hAnsi="Montserrat"/>
          <w:b/>
          <w:bCs/>
          <w:sz w:val="22"/>
          <w:szCs w:val="22"/>
        </w:rPr>
      </w:pPr>
      <w:r>
        <w:rPr>
          <w:rFonts w:ascii="Montserrat" w:hAnsi="Montserrat"/>
          <w:b/>
          <w:bCs/>
          <w:sz w:val="22"/>
          <w:szCs w:val="22"/>
        </w:rPr>
        <w:br w:type="page"/>
      </w:r>
    </w:p>
    <w:p w14:paraId="08381C18" w14:textId="77777777" w:rsidR="005F14C8" w:rsidRDefault="005F14C8" w:rsidP="00B9559F">
      <w:pPr>
        <w:rPr>
          <w:rFonts w:ascii="Montserrat" w:hAnsi="Montserrat"/>
          <w:b/>
          <w:bCs/>
          <w:sz w:val="22"/>
          <w:szCs w:val="22"/>
        </w:rPr>
      </w:pPr>
    </w:p>
    <w:p w14:paraId="4854A011" w14:textId="77777777" w:rsidR="006F04B3" w:rsidRDefault="006F04B3" w:rsidP="00B9559F">
      <w:pPr>
        <w:rPr>
          <w:rFonts w:ascii="Montserrat" w:hAnsi="Montserrat"/>
          <w:b/>
          <w:bCs/>
          <w:sz w:val="22"/>
          <w:szCs w:val="22"/>
        </w:rPr>
      </w:pPr>
    </w:p>
    <w:p w14:paraId="0241ADD0" w14:textId="7E456C31" w:rsidR="00926C5C" w:rsidRPr="00192892" w:rsidRDefault="00926C5C" w:rsidP="00B9559F">
      <w:pPr>
        <w:rPr>
          <w:rFonts w:ascii="Montserrat" w:hAnsi="Montserrat"/>
          <w:b/>
          <w:bCs/>
          <w:sz w:val="22"/>
          <w:szCs w:val="22"/>
        </w:rPr>
      </w:pPr>
      <w:r w:rsidRPr="00192892">
        <w:rPr>
          <w:rFonts w:ascii="Montserrat" w:hAnsi="Montserrat"/>
          <w:b/>
          <w:bCs/>
          <w:sz w:val="22"/>
          <w:szCs w:val="22"/>
        </w:rPr>
        <w:t>NOTAS AL ESTADO DE SITUACIÓN FINANCIERA</w:t>
      </w:r>
    </w:p>
    <w:p w14:paraId="2CB5BEDC" w14:textId="77777777" w:rsidR="00926C5C" w:rsidRPr="00192892" w:rsidRDefault="00926C5C" w:rsidP="00926C5C">
      <w:pPr>
        <w:pStyle w:val="Texto"/>
        <w:spacing w:after="0" w:line="203" w:lineRule="exact"/>
        <w:ind w:firstLine="0"/>
        <w:rPr>
          <w:rFonts w:ascii="Montserrat" w:hAnsi="Montserrat"/>
          <w:b/>
          <w:sz w:val="22"/>
          <w:szCs w:val="22"/>
          <w:lang w:val="es-MX"/>
        </w:rPr>
      </w:pPr>
    </w:p>
    <w:p w14:paraId="5367BD8A" w14:textId="77777777" w:rsidR="00926C5C" w:rsidRPr="00192892" w:rsidRDefault="00926C5C" w:rsidP="00926C5C">
      <w:pPr>
        <w:pStyle w:val="Texto"/>
        <w:spacing w:after="0" w:line="203" w:lineRule="exact"/>
        <w:ind w:firstLine="0"/>
        <w:rPr>
          <w:rFonts w:ascii="Montserrat" w:hAnsi="Montserrat"/>
          <w:b/>
          <w:sz w:val="22"/>
          <w:szCs w:val="22"/>
          <w:lang w:val="es-MX"/>
        </w:rPr>
      </w:pPr>
    </w:p>
    <w:p w14:paraId="4DDF29C7" w14:textId="77777777" w:rsidR="00926C5C" w:rsidRPr="00192892" w:rsidRDefault="00926C5C" w:rsidP="00926C5C">
      <w:pPr>
        <w:pStyle w:val="Texto"/>
        <w:spacing w:after="0" w:line="203" w:lineRule="exact"/>
        <w:ind w:firstLine="0"/>
        <w:rPr>
          <w:rFonts w:ascii="Montserrat" w:hAnsi="Montserrat"/>
          <w:b/>
          <w:sz w:val="22"/>
          <w:szCs w:val="22"/>
          <w:lang w:val="es-MX"/>
        </w:rPr>
      </w:pPr>
      <w:r w:rsidRPr="00192892">
        <w:rPr>
          <w:rFonts w:ascii="Montserrat" w:hAnsi="Montserrat"/>
          <w:b/>
          <w:sz w:val="22"/>
          <w:szCs w:val="22"/>
          <w:lang w:val="es-MX"/>
        </w:rPr>
        <w:t>Activo</w:t>
      </w:r>
    </w:p>
    <w:p w14:paraId="05529E8C" w14:textId="77777777" w:rsidR="00926C5C" w:rsidRPr="00192892" w:rsidRDefault="00926C5C" w:rsidP="00926C5C">
      <w:pPr>
        <w:rPr>
          <w:rFonts w:ascii="Montserrat" w:hAnsi="Montserrat"/>
          <w:b/>
          <w:sz w:val="22"/>
          <w:szCs w:val="22"/>
        </w:rPr>
      </w:pPr>
    </w:p>
    <w:p w14:paraId="4D991FE0"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El activo se compone de los fondos, valores, derechos y bienes cuantificados en términos monetarios, los cuales controla y dispone el Poder Ejecutivo para la prestación de servicios públicos, este se integra como sigue:</w:t>
      </w:r>
    </w:p>
    <w:p w14:paraId="0668A500" w14:textId="77777777" w:rsidR="00926C5C" w:rsidRPr="00192892" w:rsidRDefault="00926C5C" w:rsidP="00926C5C">
      <w:pPr>
        <w:rPr>
          <w:rFonts w:ascii="Montserrat" w:hAnsi="Montserrat"/>
          <w:b/>
          <w:sz w:val="22"/>
          <w:szCs w:val="22"/>
        </w:rPr>
      </w:pPr>
    </w:p>
    <w:p w14:paraId="778EB58E"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4.- Efectivo y Equivalentes.</w:t>
      </w:r>
    </w:p>
    <w:bookmarkEnd w:id="11"/>
    <w:p w14:paraId="38D81082" w14:textId="77777777" w:rsidR="00926C5C" w:rsidRPr="00192892" w:rsidRDefault="00926C5C" w:rsidP="00926C5C">
      <w:pPr>
        <w:jc w:val="both"/>
        <w:rPr>
          <w:rFonts w:ascii="Montserrat" w:hAnsi="Montserrat"/>
          <w:b/>
          <w:sz w:val="22"/>
          <w:szCs w:val="22"/>
          <w:u w:val="single"/>
        </w:rPr>
      </w:pPr>
    </w:p>
    <w:p w14:paraId="53FE11E2"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Este rubro representa la disponibilidad que tiene el Poder Ejecutivo para realizar pagos a corto plazo a prestadores de bienes y servicios, y por retenciones de Impuestos a enterar a los Servicios de Administración Tributaria (SAT) de la Secretaría de Hacienda y Crédito Público por concepto de honorarios y sueldos y salarios.</w:t>
      </w:r>
    </w:p>
    <w:p w14:paraId="5500EFF4" w14:textId="77777777" w:rsidR="00926C5C" w:rsidRPr="00192892" w:rsidRDefault="00926C5C" w:rsidP="00926C5C">
      <w:pPr>
        <w:jc w:val="both"/>
        <w:rPr>
          <w:rFonts w:ascii="Montserrat" w:hAnsi="Montserrat"/>
          <w:sz w:val="22"/>
          <w:szCs w:val="22"/>
        </w:rPr>
      </w:pPr>
    </w:p>
    <w:p w14:paraId="20025037" w14:textId="29AF84A2" w:rsidR="00926C5C" w:rsidRPr="00192892" w:rsidRDefault="00926C5C" w:rsidP="00926C5C">
      <w:pPr>
        <w:jc w:val="both"/>
        <w:rPr>
          <w:rFonts w:ascii="Montserrat" w:hAnsi="Montserrat"/>
          <w:sz w:val="22"/>
          <w:szCs w:val="22"/>
        </w:rPr>
      </w:pPr>
      <w:r w:rsidRPr="00192892">
        <w:rPr>
          <w:rFonts w:ascii="Montserrat" w:hAnsi="Montserrat"/>
          <w:sz w:val="22"/>
          <w:szCs w:val="22"/>
        </w:rPr>
        <w:t xml:space="preserve">Esta disponibilidad al </w:t>
      </w:r>
      <w:r w:rsidR="00C643E7">
        <w:rPr>
          <w:rFonts w:ascii="Montserrat" w:hAnsi="Montserrat"/>
          <w:sz w:val="22"/>
          <w:szCs w:val="22"/>
        </w:rPr>
        <w:t xml:space="preserve">31 de </w:t>
      </w:r>
      <w:r w:rsidR="00137A29">
        <w:rPr>
          <w:rFonts w:ascii="Montserrat" w:hAnsi="Montserrat"/>
          <w:sz w:val="22"/>
          <w:szCs w:val="22"/>
        </w:rPr>
        <w:t>dic</w:t>
      </w:r>
      <w:r w:rsidRPr="00192892">
        <w:rPr>
          <w:rFonts w:ascii="Montserrat" w:hAnsi="Montserrat"/>
          <w:sz w:val="22"/>
          <w:szCs w:val="22"/>
        </w:rPr>
        <w:t>iembre 2024</w:t>
      </w:r>
      <w:r w:rsidR="00C643E7">
        <w:rPr>
          <w:rFonts w:ascii="Montserrat" w:hAnsi="Montserrat"/>
          <w:sz w:val="22"/>
          <w:szCs w:val="22"/>
        </w:rPr>
        <w:t xml:space="preserve"> y 2023</w:t>
      </w:r>
      <w:r w:rsidRPr="00192892">
        <w:rPr>
          <w:rFonts w:ascii="Montserrat" w:hAnsi="Montserrat"/>
          <w:sz w:val="22"/>
          <w:szCs w:val="22"/>
        </w:rPr>
        <w:t>, se encuentra integrada de la siguiente manera:</w:t>
      </w:r>
    </w:p>
    <w:p w14:paraId="15830A1E" w14:textId="77777777" w:rsidR="00926C5C" w:rsidRPr="00192892" w:rsidRDefault="00926C5C" w:rsidP="00926C5C">
      <w:pPr>
        <w:jc w:val="center"/>
        <w:rPr>
          <w:rFonts w:ascii="Montserrat" w:hAnsi="Montserrat"/>
          <w:b/>
          <w:sz w:val="22"/>
          <w:szCs w:val="22"/>
        </w:rPr>
      </w:pPr>
    </w:p>
    <w:p w14:paraId="5F27D9B1" w14:textId="77777777" w:rsidR="00926C5C" w:rsidRPr="00192892" w:rsidRDefault="00926C5C" w:rsidP="00926C5C">
      <w:pP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7424C5F9"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2824057" w14:textId="77777777" w:rsidR="004B2ED9" w:rsidRPr="00732FA0" w:rsidRDefault="004B2ED9" w:rsidP="004B2ED9">
            <w:pPr>
              <w:jc w:val="center"/>
              <w:rPr>
                <w:rFonts w:eastAsia="Times New Roman" w:cs="Times New Roman"/>
                <w:b/>
                <w:bCs/>
                <w:color w:val="FFFFFF" w:themeColor="background1"/>
                <w:sz w:val="22"/>
                <w:szCs w:val="22"/>
                <w:lang w:val="es-MX"/>
              </w:rPr>
            </w:pPr>
            <w:r w:rsidRPr="00732FA0">
              <w:rPr>
                <w:rFonts w:eastAsia="Times New Roman" w:cs="Times New Roman"/>
                <w:b/>
                <w:bCs/>
                <w:color w:val="FFFFFF" w:themeColor="background1"/>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09EB2F49" w14:textId="77777777" w:rsidR="004B2ED9" w:rsidRPr="00732FA0" w:rsidRDefault="004B2ED9" w:rsidP="004B2ED9">
            <w:pPr>
              <w:jc w:val="center"/>
              <w:rPr>
                <w:rFonts w:eastAsia="Times New Roman" w:cs="Times New Roman"/>
                <w:b/>
                <w:bCs/>
                <w:color w:val="FFFFFF" w:themeColor="background1"/>
                <w:sz w:val="22"/>
                <w:szCs w:val="22"/>
                <w:lang w:val="es-MX"/>
              </w:rPr>
            </w:pPr>
            <w:r w:rsidRPr="00732FA0">
              <w:rPr>
                <w:rFonts w:eastAsia="Times New Roman" w:cs="Times New Roman"/>
                <w:b/>
                <w:bCs/>
                <w:color w:val="FFFFFF" w:themeColor="background1"/>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1E81C9BB" w14:textId="77777777" w:rsidR="004B2ED9" w:rsidRPr="00732FA0" w:rsidRDefault="004B2ED9" w:rsidP="004B2ED9">
            <w:pPr>
              <w:jc w:val="center"/>
              <w:rPr>
                <w:rFonts w:eastAsia="Times New Roman" w:cs="Times New Roman"/>
                <w:b/>
                <w:bCs/>
                <w:color w:val="FFFFFF" w:themeColor="background1"/>
                <w:sz w:val="22"/>
                <w:szCs w:val="22"/>
                <w:lang w:val="es-MX"/>
              </w:rPr>
            </w:pPr>
            <w:r w:rsidRPr="00732FA0">
              <w:rPr>
                <w:rFonts w:eastAsia="Times New Roman" w:cs="Times New Roman"/>
                <w:b/>
                <w:bCs/>
                <w:color w:val="FFFFFF" w:themeColor="background1"/>
                <w:sz w:val="22"/>
                <w:szCs w:val="22"/>
                <w:lang w:val="es-MX"/>
              </w:rPr>
              <w:t>2023</w:t>
            </w:r>
          </w:p>
        </w:tc>
      </w:tr>
      <w:tr w:rsidR="004B2ED9" w:rsidRPr="004B2ED9" w14:paraId="204B6395" w14:textId="77777777" w:rsidTr="004B2ED9">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41CBE6C1"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Efectivo</w:t>
            </w:r>
          </w:p>
        </w:tc>
        <w:tc>
          <w:tcPr>
            <w:tcW w:w="2240" w:type="dxa"/>
            <w:tcBorders>
              <w:top w:val="nil"/>
              <w:left w:val="nil"/>
              <w:bottom w:val="nil"/>
              <w:right w:val="single" w:sz="8" w:space="0" w:color="auto"/>
            </w:tcBorders>
            <w:shd w:val="clear" w:color="000000" w:fill="FFFFFF"/>
            <w:vAlign w:val="center"/>
            <w:hideMark/>
          </w:tcPr>
          <w:p w14:paraId="46605959"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306,601</w:t>
            </w:r>
          </w:p>
        </w:tc>
        <w:tc>
          <w:tcPr>
            <w:tcW w:w="2220" w:type="dxa"/>
            <w:tcBorders>
              <w:top w:val="nil"/>
              <w:left w:val="nil"/>
              <w:bottom w:val="nil"/>
              <w:right w:val="single" w:sz="8" w:space="0" w:color="auto"/>
            </w:tcBorders>
            <w:shd w:val="clear" w:color="000000" w:fill="FFFFFF"/>
            <w:vAlign w:val="center"/>
            <w:hideMark/>
          </w:tcPr>
          <w:p w14:paraId="79507FFF"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306,601</w:t>
            </w:r>
          </w:p>
        </w:tc>
      </w:tr>
      <w:tr w:rsidR="004B2ED9" w:rsidRPr="004B2ED9" w14:paraId="7E57D665" w14:textId="77777777" w:rsidTr="004B2ED9">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07380E0B"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Bancos/Tesorería</w:t>
            </w:r>
          </w:p>
        </w:tc>
        <w:tc>
          <w:tcPr>
            <w:tcW w:w="2240" w:type="dxa"/>
            <w:tcBorders>
              <w:top w:val="nil"/>
              <w:left w:val="nil"/>
              <w:bottom w:val="nil"/>
              <w:right w:val="single" w:sz="8" w:space="0" w:color="auto"/>
            </w:tcBorders>
            <w:shd w:val="clear" w:color="000000" w:fill="FFFFFF"/>
            <w:vAlign w:val="center"/>
            <w:hideMark/>
          </w:tcPr>
          <w:p w14:paraId="0C7F7758"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4,013,869,395</w:t>
            </w:r>
          </w:p>
        </w:tc>
        <w:tc>
          <w:tcPr>
            <w:tcW w:w="2220" w:type="dxa"/>
            <w:tcBorders>
              <w:top w:val="nil"/>
              <w:left w:val="nil"/>
              <w:bottom w:val="nil"/>
              <w:right w:val="single" w:sz="8" w:space="0" w:color="auto"/>
            </w:tcBorders>
            <w:shd w:val="clear" w:color="000000" w:fill="FFFFFF"/>
            <w:vAlign w:val="center"/>
            <w:hideMark/>
          </w:tcPr>
          <w:p w14:paraId="1112190E"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3,908,835,048</w:t>
            </w:r>
          </w:p>
        </w:tc>
      </w:tr>
      <w:tr w:rsidR="004B2ED9" w:rsidRPr="004B2ED9" w14:paraId="2E7D752C" w14:textId="77777777" w:rsidTr="004B2ED9">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0AC8D642"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Bancos/Dependencias Y Otros</w:t>
            </w:r>
          </w:p>
        </w:tc>
        <w:tc>
          <w:tcPr>
            <w:tcW w:w="2240" w:type="dxa"/>
            <w:tcBorders>
              <w:top w:val="nil"/>
              <w:left w:val="nil"/>
              <w:bottom w:val="nil"/>
              <w:right w:val="single" w:sz="8" w:space="0" w:color="auto"/>
            </w:tcBorders>
            <w:shd w:val="clear" w:color="000000" w:fill="FFFFFF"/>
            <w:vAlign w:val="center"/>
            <w:hideMark/>
          </w:tcPr>
          <w:p w14:paraId="55D0554D"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308,758,891</w:t>
            </w:r>
          </w:p>
        </w:tc>
        <w:tc>
          <w:tcPr>
            <w:tcW w:w="2220" w:type="dxa"/>
            <w:tcBorders>
              <w:top w:val="nil"/>
              <w:left w:val="nil"/>
              <w:bottom w:val="nil"/>
              <w:right w:val="single" w:sz="8" w:space="0" w:color="auto"/>
            </w:tcBorders>
            <w:shd w:val="clear" w:color="000000" w:fill="FFFFFF"/>
            <w:vAlign w:val="center"/>
            <w:hideMark/>
          </w:tcPr>
          <w:p w14:paraId="34655512"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617,789,818</w:t>
            </w:r>
          </w:p>
        </w:tc>
      </w:tr>
      <w:tr w:rsidR="004B2ED9" w:rsidRPr="004B2ED9" w14:paraId="31B42044"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1E04E676"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Inversiones Temporales (Hasta 3 Meses)</w:t>
            </w:r>
          </w:p>
        </w:tc>
        <w:tc>
          <w:tcPr>
            <w:tcW w:w="2240" w:type="dxa"/>
            <w:tcBorders>
              <w:top w:val="nil"/>
              <w:left w:val="nil"/>
              <w:bottom w:val="single" w:sz="8" w:space="0" w:color="auto"/>
              <w:right w:val="single" w:sz="8" w:space="0" w:color="auto"/>
            </w:tcBorders>
            <w:shd w:val="clear" w:color="000000" w:fill="FFFFFF"/>
            <w:vAlign w:val="center"/>
            <w:hideMark/>
          </w:tcPr>
          <w:p w14:paraId="3D0A0FAA"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3,157,286,962</w:t>
            </w:r>
          </w:p>
        </w:tc>
        <w:tc>
          <w:tcPr>
            <w:tcW w:w="2220" w:type="dxa"/>
            <w:tcBorders>
              <w:top w:val="nil"/>
              <w:left w:val="nil"/>
              <w:bottom w:val="single" w:sz="8" w:space="0" w:color="auto"/>
              <w:right w:val="single" w:sz="8" w:space="0" w:color="auto"/>
            </w:tcBorders>
            <w:shd w:val="clear" w:color="000000" w:fill="FFFFFF"/>
            <w:vAlign w:val="center"/>
            <w:hideMark/>
          </w:tcPr>
          <w:p w14:paraId="4607BB95"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3,033,899,207</w:t>
            </w:r>
          </w:p>
        </w:tc>
      </w:tr>
      <w:tr w:rsidR="004B2ED9" w:rsidRPr="004B2ED9" w14:paraId="2AACC167"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6646A213"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3EC496C8"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7,480,221,848</w:t>
            </w:r>
          </w:p>
        </w:tc>
        <w:tc>
          <w:tcPr>
            <w:tcW w:w="2220" w:type="dxa"/>
            <w:tcBorders>
              <w:top w:val="nil"/>
              <w:left w:val="nil"/>
              <w:bottom w:val="single" w:sz="8" w:space="0" w:color="auto"/>
              <w:right w:val="single" w:sz="8" w:space="0" w:color="auto"/>
            </w:tcBorders>
            <w:shd w:val="clear" w:color="000000" w:fill="FFFFFF"/>
            <w:noWrap/>
            <w:vAlign w:val="center"/>
            <w:hideMark/>
          </w:tcPr>
          <w:p w14:paraId="16D9555E"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7,560,830,673</w:t>
            </w:r>
          </w:p>
        </w:tc>
      </w:tr>
    </w:tbl>
    <w:p w14:paraId="6914AA33" w14:textId="77777777" w:rsidR="00926C5C" w:rsidRPr="00192892" w:rsidRDefault="00926C5C" w:rsidP="00135569">
      <w:pPr>
        <w:jc w:val="center"/>
        <w:rPr>
          <w:rFonts w:ascii="Montserrat" w:hAnsi="Montserrat"/>
          <w:sz w:val="22"/>
          <w:szCs w:val="22"/>
        </w:rPr>
      </w:pPr>
    </w:p>
    <w:p w14:paraId="1782EABA" w14:textId="77777777" w:rsidR="00926C5C" w:rsidRPr="00192892" w:rsidRDefault="00926C5C" w:rsidP="00926C5C">
      <w:pPr>
        <w:rPr>
          <w:rFonts w:ascii="Montserrat" w:hAnsi="Montserrat"/>
          <w:b/>
          <w:sz w:val="22"/>
          <w:szCs w:val="22"/>
        </w:rPr>
      </w:pPr>
      <w:bookmarkStart w:id="12" w:name="_Hlk157388789"/>
    </w:p>
    <w:p w14:paraId="14738E15"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5.- Derechos a recibir Efectivo y Equivalentes y Bienes o Servicios</w:t>
      </w:r>
    </w:p>
    <w:p w14:paraId="301E6B0F" w14:textId="77777777" w:rsidR="00926C5C" w:rsidRPr="00192892" w:rsidRDefault="00926C5C" w:rsidP="00926C5C">
      <w:pPr>
        <w:jc w:val="both"/>
        <w:rPr>
          <w:rFonts w:ascii="Montserrat" w:hAnsi="Montserrat"/>
          <w:b/>
          <w:sz w:val="22"/>
          <w:szCs w:val="22"/>
        </w:rPr>
      </w:pPr>
    </w:p>
    <w:p w14:paraId="19FDF777" w14:textId="77777777" w:rsidR="00926C5C" w:rsidRPr="00192892" w:rsidRDefault="00926C5C" w:rsidP="00926C5C">
      <w:pPr>
        <w:jc w:val="both"/>
        <w:rPr>
          <w:rFonts w:ascii="Montserrat" w:hAnsi="Montserrat"/>
          <w:b/>
          <w:sz w:val="22"/>
          <w:szCs w:val="22"/>
        </w:rPr>
      </w:pPr>
      <w:r w:rsidRPr="00192892">
        <w:rPr>
          <w:rFonts w:ascii="Montserrat" w:hAnsi="Montserrat"/>
          <w:b/>
          <w:sz w:val="22"/>
          <w:szCs w:val="22"/>
        </w:rPr>
        <w:t>Derechos a Recibir Efectivo o Equivalentes</w:t>
      </w:r>
    </w:p>
    <w:bookmarkEnd w:id="12"/>
    <w:p w14:paraId="3F0B61FA" w14:textId="77777777" w:rsidR="00926C5C" w:rsidRPr="00192892" w:rsidRDefault="00926C5C" w:rsidP="00926C5C">
      <w:pPr>
        <w:jc w:val="both"/>
        <w:rPr>
          <w:rFonts w:ascii="Montserrat" w:hAnsi="Montserrat"/>
          <w:b/>
          <w:sz w:val="22"/>
          <w:szCs w:val="22"/>
        </w:rPr>
      </w:pPr>
    </w:p>
    <w:p w14:paraId="32BA942E" w14:textId="68B2570B" w:rsidR="00926C5C" w:rsidRPr="00192892" w:rsidRDefault="00926C5C" w:rsidP="00926C5C">
      <w:pPr>
        <w:jc w:val="both"/>
        <w:rPr>
          <w:rFonts w:ascii="Montserrat" w:hAnsi="Montserrat"/>
          <w:sz w:val="22"/>
          <w:szCs w:val="22"/>
        </w:rPr>
      </w:pPr>
      <w:r w:rsidRPr="00192892">
        <w:rPr>
          <w:rFonts w:ascii="Montserrat" w:hAnsi="Montserrat"/>
          <w:sz w:val="22"/>
          <w:szCs w:val="22"/>
        </w:rPr>
        <w:t xml:space="preserve">Este rubro del Poder Ejecutivo se integra del saldo de Cuentas por Cobrar y Deudores Diversos a Corto plazo, por Derechos a Recibir Efectivo y Equivalentes que tienen los entes públicos que lo conforman y los cuales al </w:t>
      </w:r>
      <w:r w:rsidR="00C643E7">
        <w:rPr>
          <w:rFonts w:ascii="Montserrat" w:hAnsi="Montserrat"/>
          <w:sz w:val="22"/>
          <w:szCs w:val="22"/>
        </w:rPr>
        <w:t xml:space="preserve">31 de </w:t>
      </w:r>
      <w:r w:rsidR="00137A29">
        <w:rPr>
          <w:rFonts w:ascii="Montserrat" w:hAnsi="Montserrat"/>
          <w:sz w:val="22"/>
          <w:szCs w:val="22"/>
        </w:rPr>
        <w:t>dic</w:t>
      </w:r>
      <w:r w:rsidRPr="00192892">
        <w:rPr>
          <w:rFonts w:ascii="Montserrat" w:hAnsi="Montserrat"/>
          <w:sz w:val="22"/>
          <w:szCs w:val="22"/>
        </w:rPr>
        <w:t>iembre de 2024 y 2023 se encuentran integrados de:</w:t>
      </w:r>
    </w:p>
    <w:p w14:paraId="3AD372D1" w14:textId="6B9A6769" w:rsidR="005F14C8" w:rsidRDefault="005F14C8">
      <w:pPr>
        <w:rPr>
          <w:rFonts w:ascii="Montserrat" w:hAnsi="Montserrat"/>
          <w:b/>
          <w:sz w:val="22"/>
          <w:szCs w:val="22"/>
        </w:rPr>
      </w:pPr>
      <w:r>
        <w:rPr>
          <w:rFonts w:ascii="Montserrat" w:hAnsi="Montserrat"/>
          <w:b/>
          <w:sz w:val="22"/>
          <w:szCs w:val="22"/>
        </w:rPr>
        <w:br w:type="page"/>
      </w:r>
    </w:p>
    <w:p w14:paraId="5CE8880D" w14:textId="77777777" w:rsidR="00926C5C" w:rsidRPr="00192892" w:rsidRDefault="00926C5C" w:rsidP="00926C5C">
      <w:pPr>
        <w:keepNext/>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lastRenderedPageBreak/>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1A09711B"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068E91F2" w14:textId="77777777" w:rsidR="004B2ED9" w:rsidRPr="00732FA0" w:rsidRDefault="004B2ED9" w:rsidP="004B2ED9">
            <w:pPr>
              <w:jc w:val="center"/>
              <w:rPr>
                <w:rFonts w:eastAsia="Times New Roman" w:cs="Times New Roman"/>
                <w:b/>
                <w:bCs/>
                <w:color w:val="FFFFFF" w:themeColor="background1"/>
                <w:sz w:val="22"/>
                <w:szCs w:val="22"/>
                <w:lang w:val="es-MX"/>
              </w:rPr>
            </w:pPr>
            <w:r w:rsidRPr="00732FA0">
              <w:rPr>
                <w:rFonts w:eastAsia="Times New Roman" w:cs="Times New Roman"/>
                <w:b/>
                <w:bCs/>
                <w:color w:val="FFFFFF" w:themeColor="background1"/>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26819841" w14:textId="77777777" w:rsidR="004B2ED9" w:rsidRPr="00732FA0" w:rsidRDefault="004B2ED9" w:rsidP="004B2ED9">
            <w:pPr>
              <w:jc w:val="center"/>
              <w:rPr>
                <w:rFonts w:eastAsia="Times New Roman" w:cs="Times New Roman"/>
                <w:b/>
                <w:bCs/>
                <w:color w:val="FFFFFF" w:themeColor="background1"/>
                <w:sz w:val="22"/>
                <w:szCs w:val="22"/>
                <w:lang w:val="es-MX"/>
              </w:rPr>
            </w:pPr>
            <w:r w:rsidRPr="00732FA0">
              <w:rPr>
                <w:rFonts w:eastAsia="Times New Roman" w:cs="Times New Roman"/>
                <w:b/>
                <w:bCs/>
                <w:color w:val="FFFFFF" w:themeColor="background1"/>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54BAB6F3" w14:textId="77777777" w:rsidR="004B2ED9" w:rsidRPr="00732FA0" w:rsidRDefault="004B2ED9" w:rsidP="004B2ED9">
            <w:pPr>
              <w:jc w:val="center"/>
              <w:rPr>
                <w:rFonts w:eastAsia="Times New Roman" w:cs="Times New Roman"/>
                <w:b/>
                <w:bCs/>
                <w:color w:val="FFFFFF" w:themeColor="background1"/>
                <w:sz w:val="22"/>
                <w:szCs w:val="22"/>
                <w:lang w:val="es-MX"/>
              </w:rPr>
            </w:pPr>
            <w:r w:rsidRPr="00732FA0">
              <w:rPr>
                <w:rFonts w:eastAsia="Times New Roman" w:cs="Times New Roman"/>
                <w:b/>
                <w:bCs/>
                <w:color w:val="FFFFFF" w:themeColor="background1"/>
                <w:sz w:val="22"/>
                <w:szCs w:val="22"/>
                <w:lang w:val="es-MX"/>
              </w:rPr>
              <w:t>2023</w:t>
            </w:r>
          </w:p>
        </w:tc>
      </w:tr>
      <w:tr w:rsidR="004B2ED9" w:rsidRPr="004B2ED9" w14:paraId="78E29CDB" w14:textId="77777777" w:rsidTr="004B2ED9">
        <w:trPr>
          <w:trHeight w:val="300"/>
        </w:trPr>
        <w:tc>
          <w:tcPr>
            <w:tcW w:w="4480" w:type="dxa"/>
            <w:tcBorders>
              <w:top w:val="nil"/>
              <w:left w:val="single" w:sz="8" w:space="0" w:color="auto"/>
              <w:bottom w:val="nil"/>
              <w:right w:val="single" w:sz="8" w:space="0" w:color="auto"/>
            </w:tcBorders>
            <w:shd w:val="clear" w:color="auto" w:fill="auto"/>
            <w:vAlign w:val="center"/>
            <w:hideMark/>
          </w:tcPr>
          <w:p w14:paraId="7744D0B4"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Cuentas Por Cobrar A Corto Plazo</w:t>
            </w:r>
          </w:p>
        </w:tc>
        <w:tc>
          <w:tcPr>
            <w:tcW w:w="2240" w:type="dxa"/>
            <w:tcBorders>
              <w:top w:val="nil"/>
              <w:left w:val="nil"/>
              <w:bottom w:val="nil"/>
              <w:right w:val="single" w:sz="8" w:space="0" w:color="auto"/>
            </w:tcBorders>
            <w:shd w:val="clear" w:color="000000" w:fill="FFFFFF"/>
            <w:vAlign w:val="center"/>
            <w:hideMark/>
          </w:tcPr>
          <w:p w14:paraId="26077690"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31,748,604</w:t>
            </w:r>
          </w:p>
        </w:tc>
        <w:tc>
          <w:tcPr>
            <w:tcW w:w="2220" w:type="dxa"/>
            <w:tcBorders>
              <w:top w:val="nil"/>
              <w:left w:val="nil"/>
              <w:bottom w:val="nil"/>
              <w:right w:val="single" w:sz="8" w:space="0" w:color="auto"/>
            </w:tcBorders>
            <w:shd w:val="clear" w:color="000000" w:fill="FFFFFF"/>
            <w:vAlign w:val="center"/>
            <w:hideMark/>
          </w:tcPr>
          <w:p w14:paraId="075C3ED1"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31,730,180</w:t>
            </w:r>
          </w:p>
        </w:tc>
      </w:tr>
      <w:tr w:rsidR="004B2ED9" w:rsidRPr="004B2ED9" w14:paraId="3668FDA8" w14:textId="77777777" w:rsidTr="004B2ED9">
        <w:trPr>
          <w:trHeight w:val="300"/>
        </w:trPr>
        <w:tc>
          <w:tcPr>
            <w:tcW w:w="4480" w:type="dxa"/>
            <w:tcBorders>
              <w:top w:val="nil"/>
              <w:left w:val="single" w:sz="8" w:space="0" w:color="auto"/>
              <w:bottom w:val="nil"/>
              <w:right w:val="single" w:sz="8" w:space="0" w:color="auto"/>
            </w:tcBorders>
            <w:shd w:val="clear" w:color="auto" w:fill="auto"/>
            <w:vAlign w:val="center"/>
            <w:hideMark/>
          </w:tcPr>
          <w:p w14:paraId="28A881F5"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Deudores Diversos Por Cobrar A Corto Plazo</w:t>
            </w:r>
          </w:p>
        </w:tc>
        <w:tc>
          <w:tcPr>
            <w:tcW w:w="2240" w:type="dxa"/>
            <w:tcBorders>
              <w:top w:val="nil"/>
              <w:left w:val="nil"/>
              <w:bottom w:val="nil"/>
              <w:right w:val="single" w:sz="8" w:space="0" w:color="auto"/>
            </w:tcBorders>
            <w:shd w:val="clear" w:color="000000" w:fill="FFFFFF"/>
            <w:vAlign w:val="center"/>
            <w:hideMark/>
          </w:tcPr>
          <w:p w14:paraId="638E6C58"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940,959,876</w:t>
            </w:r>
          </w:p>
        </w:tc>
        <w:tc>
          <w:tcPr>
            <w:tcW w:w="2220" w:type="dxa"/>
            <w:tcBorders>
              <w:top w:val="nil"/>
              <w:left w:val="nil"/>
              <w:bottom w:val="nil"/>
              <w:right w:val="single" w:sz="8" w:space="0" w:color="auto"/>
            </w:tcBorders>
            <w:shd w:val="clear" w:color="000000" w:fill="FFFFFF"/>
            <w:vAlign w:val="center"/>
            <w:hideMark/>
          </w:tcPr>
          <w:p w14:paraId="69DF4BBA"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881,086,773</w:t>
            </w:r>
          </w:p>
        </w:tc>
      </w:tr>
      <w:tr w:rsidR="004B2ED9" w:rsidRPr="004B2ED9" w14:paraId="31971F1F" w14:textId="77777777" w:rsidTr="004B2ED9">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74D7DCC3"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Ingresos Por Recuperar A Corto Plazo</w:t>
            </w:r>
          </w:p>
        </w:tc>
        <w:tc>
          <w:tcPr>
            <w:tcW w:w="2240" w:type="dxa"/>
            <w:tcBorders>
              <w:top w:val="nil"/>
              <w:left w:val="nil"/>
              <w:bottom w:val="nil"/>
              <w:right w:val="single" w:sz="8" w:space="0" w:color="auto"/>
            </w:tcBorders>
            <w:shd w:val="clear" w:color="000000" w:fill="FFFFFF"/>
            <w:vAlign w:val="center"/>
            <w:hideMark/>
          </w:tcPr>
          <w:p w14:paraId="183D10AA"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943,066,337</w:t>
            </w:r>
          </w:p>
        </w:tc>
        <w:tc>
          <w:tcPr>
            <w:tcW w:w="2220" w:type="dxa"/>
            <w:tcBorders>
              <w:top w:val="nil"/>
              <w:left w:val="nil"/>
              <w:bottom w:val="nil"/>
              <w:right w:val="single" w:sz="8" w:space="0" w:color="auto"/>
            </w:tcBorders>
            <w:shd w:val="clear" w:color="000000" w:fill="FFFFFF"/>
            <w:vAlign w:val="center"/>
            <w:hideMark/>
          </w:tcPr>
          <w:p w14:paraId="79B50BEB"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706,225,278</w:t>
            </w:r>
          </w:p>
        </w:tc>
      </w:tr>
      <w:tr w:rsidR="004B2ED9" w:rsidRPr="004B2ED9" w14:paraId="438E4F9F" w14:textId="77777777" w:rsidTr="004B2ED9">
        <w:trPr>
          <w:trHeight w:val="285"/>
        </w:trPr>
        <w:tc>
          <w:tcPr>
            <w:tcW w:w="4480" w:type="dxa"/>
            <w:tcBorders>
              <w:top w:val="nil"/>
              <w:left w:val="single" w:sz="8" w:space="0" w:color="auto"/>
              <w:bottom w:val="nil"/>
              <w:right w:val="single" w:sz="8" w:space="0" w:color="auto"/>
            </w:tcBorders>
            <w:shd w:val="clear" w:color="000000" w:fill="FFFFFF"/>
            <w:vAlign w:val="center"/>
            <w:hideMark/>
          </w:tcPr>
          <w:p w14:paraId="0D91BFB5"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Deudores Por Anticipos De La Tesorería A Corto Plazo</w:t>
            </w:r>
          </w:p>
        </w:tc>
        <w:tc>
          <w:tcPr>
            <w:tcW w:w="2240" w:type="dxa"/>
            <w:tcBorders>
              <w:top w:val="nil"/>
              <w:left w:val="nil"/>
              <w:bottom w:val="nil"/>
              <w:right w:val="single" w:sz="8" w:space="0" w:color="auto"/>
            </w:tcBorders>
            <w:shd w:val="clear" w:color="000000" w:fill="FFFFFF"/>
            <w:vAlign w:val="center"/>
            <w:hideMark/>
          </w:tcPr>
          <w:p w14:paraId="2B743542"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447,302,115</w:t>
            </w:r>
          </w:p>
        </w:tc>
        <w:tc>
          <w:tcPr>
            <w:tcW w:w="2220" w:type="dxa"/>
            <w:tcBorders>
              <w:top w:val="nil"/>
              <w:left w:val="nil"/>
              <w:bottom w:val="nil"/>
              <w:right w:val="single" w:sz="8" w:space="0" w:color="auto"/>
            </w:tcBorders>
            <w:shd w:val="clear" w:color="000000" w:fill="FFFFFF"/>
            <w:vAlign w:val="center"/>
            <w:hideMark/>
          </w:tcPr>
          <w:p w14:paraId="242BE8CA"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399,254,062</w:t>
            </w:r>
          </w:p>
        </w:tc>
      </w:tr>
      <w:tr w:rsidR="004B2ED9" w:rsidRPr="004B2ED9" w14:paraId="46D58213" w14:textId="77777777" w:rsidTr="004B2ED9">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4591501E"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Préstamos Otorgados A Corto Plazo</w:t>
            </w:r>
          </w:p>
        </w:tc>
        <w:tc>
          <w:tcPr>
            <w:tcW w:w="2240" w:type="dxa"/>
            <w:tcBorders>
              <w:top w:val="nil"/>
              <w:left w:val="nil"/>
              <w:bottom w:val="nil"/>
              <w:right w:val="single" w:sz="8" w:space="0" w:color="auto"/>
            </w:tcBorders>
            <w:shd w:val="clear" w:color="000000" w:fill="FFFFFF"/>
            <w:vAlign w:val="center"/>
            <w:hideMark/>
          </w:tcPr>
          <w:p w14:paraId="72BB6211"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389,761,757</w:t>
            </w:r>
          </w:p>
        </w:tc>
        <w:tc>
          <w:tcPr>
            <w:tcW w:w="2220" w:type="dxa"/>
            <w:tcBorders>
              <w:top w:val="nil"/>
              <w:left w:val="nil"/>
              <w:bottom w:val="nil"/>
              <w:right w:val="single" w:sz="8" w:space="0" w:color="auto"/>
            </w:tcBorders>
            <w:shd w:val="clear" w:color="000000" w:fill="FFFFFF"/>
            <w:vAlign w:val="center"/>
            <w:hideMark/>
          </w:tcPr>
          <w:p w14:paraId="19AE17D8"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494,537,685</w:t>
            </w:r>
          </w:p>
        </w:tc>
      </w:tr>
      <w:tr w:rsidR="004B2ED9" w:rsidRPr="004B2ED9" w14:paraId="67D4DC53" w14:textId="77777777" w:rsidTr="004B2ED9">
        <w:trPr>
          <w:trHeight w:val="58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07EBED1F"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 xml:space="preserve">Otros Derechos A Recibir Efectivo O Equivalentes </w:t>
            </w:r>
            <w:proofErr w:type="gramStart"/>
            <w:r w:rsidRPr="004B2ED9">
              <w:rPr>
                <w:rFonts w:eastAsia="Times New Roman" w:cs="Times New Roman"/>
                <w:color w:val="000000"/>
                <w:sz w:val="22"/>
                <w:szCs w:val="22"/>
                <w:lang w:val="es-MX"/>
              </w:rPr>
              <w:t>A  CP</w:t>
            </w:r>
            <w:proofErr w:type="gramEnd"/>
            <w:r w:rsidRPr="004B2ED9">
              <w:rPr>
                <w:rFonts w:eastAsia="Times New Roman" w:cs="Times New Roman"/>
                <w:color w:val="000000"/>
                <w:sz w:val="22"/>
                <w:szCs w:val="22"/>
                <w:lang w:val="es-MX"/>
              </w:rPr>
              <w:t xml:space="preserve">         </w:t>
            </w:r>
          </w:p>
        </w:tc>
        <w:tc>
          <w:tcPr>
            <w:tcW w:w="2240" w:type="dxa"/>
            <w:tcBorders>
              <w:top w:val="nil"/>
              <w:left w:val="nil"/>
              <w:bottom w:val="single" w:sz="8" w:space="0" w:color="auto"/>
              <w:right w:val="single" w:sz="8" w:space="0" w:color="auto"/>
            </w:tcBorders>
            <w:shd w:val="clear" w:color="000000" w:fill="FFFFFF"/>
            <w:vAlign w:val="center"/>
            <w:hideMark/>
          </w:tcPr>
          <w:p w14:paraId="00F4660E"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3,623,233,115</w:t>
            </w:r>
          </w:p>
        </w:tc>
        <w:tc>
          <w:tcPr>
            <w:tcW w:w="2220" w:type="dxa"/>
            <w:tcBorders>
              <w:top w:val="nil"/>
              <w:left w:val="nil"/>
              <w:bottom w:val="single" w:sz="8" w:space="0" w:color="auto"/>
              <w:right w:val="single" w:sz="8" w:space="0" w:color="auto"/>
            </w:tcBorders>
            <w:shd w:val="clear" w:color="000000" w:fill="FFFFFF"/>
            <w:vAlign w:val="center"/>
            <w:hideMark/>
          </w:tcPr>
          <w:p w14:paraId="3AFBC582"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3,484,844,845</w:t>
            </w:r>
          </w:p>
        </w:tc>
      </w:tr>
      <w:tr w:rsidR="004B2ED9" w:rsidRPr="004B2ED9" w14:paraId="0B438AA2"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6C15481F"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077CC3A7"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6,376,071,803</w:t>
            </w:r>
          </w:p>
        </w:tc>
        <w:tc>
          <w:tcPr>
            <w:tcW w:w="2220" w:type="dxa"/>
            <w:tcBorders>
              <w:top w:val="nil"/>
              <w:left w:val="nil"/>
              <w:bottom w:val="single" w:sz="8" w:space="0" w:color="auto"/>
              <w:right w:val="single" w:sz="8" w:space="0" w:color="auto"/>
            </w:tcBorders>
            <w:shd w:val="clear" w:color="000000" w:fill="FFFFFF"/>
            <w:noWrap/>
            <w:vAlign w:val="center"/>
            <w:hideMark/>
          </w:tcPr>
          <w:p w14:paraId="586A90D8"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5,997,678,821</w:t>
            </w:r>
          </w:p>
        </w:tc>
      </w:tr>
    </w:tbl>
    <w:p w14:paraId="43AB4133" w14:textId="77777777" w:rsidR="00926C5C" w:rsidRPr="00192892" w:rsidRDefault="00926C5C" w:rsidP="00926C5C">
      <w:pPr>
        <w:jc w:val="both"/>
        <w:rPr>
          <w:rFonts w:ascii="Montserrat" w:hAnsi="Montserrat"/>
          <w:b/>
          <w:sz w:val="22"/>
          <w:szCs w:val="22"/>
        </w:rPr>
      </w:pPr>
    </w:p>
    <w:p w14:paraId="1BF108C9" w14:textId="77777777" w:rsidR="00926C5C" w:rsidRPr="00192892" w:rsidRDefault="00926C5C" w:rsidP="00926C5C">
      <w:pPr>
        <w:rPr>
          <w:rFonts w:ascii="Montserrat" w:hAnsi="Montserrat"/>
          <w:sz w:val="22"/>
          <w:szCs w:val="22"/>
        </w:rPr>
      </w:pPr>
    </w:p>
    <w:p w14:paraId="08EAD6E6" w14:textId="153907A6" w:rsidR="00926C5C" w:rsidRPr="00192892" w:rsidRDefault="00926C5C" w:rsidP="00926C5C">
      <w:pPr>
        <w:jc w:val="both"/>
        <w:rPr>
          <w:rFonts w:ascii="Montserrat" w:hAnsi="Montserrat"/>
          <w:b/>
          <w:sz w:val="22"/>
          <w:szCs w:val="22"/>
        </w:rPr>
      </w:pPr>
      <w:r w:rsidRPr="00192892">
        <w:rPr>
          <w:rFonts w:ascii="Montserrat" w:hAnsi="Montserrat"/>
          <w:b/>
          <w:sz w:val="22"/>
          <w:szCs w:val="22"/>
        </w:rPr>
        <w:t>Derechos a Recibir Bienes o Servicios</w:t>
      </w:r>
    </w:p>
    <w:p w14:paraId="3442DACC" w14:textId="77777777" w:rsidR="00926C5C" w:rsidRPr="00192892" w:rsidRDefault="00926C5C" w:rsidP="00926C5C">
      <w:pPr>
        <w:jc w:val="both"/>
        <w:rPr>
          <w:rFonts w:ascii="Montserrat" w:hAnsi="Montserrat"/>
          <w:sz w:val="22"/>
          <w:szCs w:val="22"/>
        </w:rPr>
      </w:pPr>
    </w:p>
    <w:p w14:paraId="03D08227" w14:textId="1CA8A7DF" w:rsidR="00926C5C" w:rsidRPr="00192892" w:rsidRDefault="00926C5C" w:rsidP="00926C5C">
      <w:pPr>
        <w:jc w:val="both"/>
        <w:rPr>
          <w:rFonts w:ascii="Montserrat" w:hAnsi="Montserrat"/>
          <w:sz w:val="22"/>
          <w:szCs w:val="22"/>
        </w:rPr>
      </w:pPr>
      <w:r w:rsidRPr="00192892">
        <w:rPr>
          <w:rFonts w:ascii="Montserrat" w:hAnsi="Montserrat"/>
          <w:sz w:val="22"/>
          <w:szCs w:val="22"/>
        </w:rPr>
        <w:t xml:space="preserve">El rubro de Derechos a Recibir Bienes o Servicios corresponde a anticipos otorgados a proveedores y contratistas para la ejecución de obra pública en proceso que tienen los entes públicos que conforman el Poder Ejecutivo y cuyo saldo </w:t>
      </w:r>
      <w:r w:rsidR="00C643E7" w:rsidRPr="00192892">
        <w:rPr>
          <w:rFonts w:ascii="Montserrat" w:hAnsi="Montserrat"/>
          <w:sz w:val="22"/>
          <w:szCs w:val="22"/>
        </w:rPr>
        <w:t xml:space="preserve">al </w:t>
      </w:r>
      <w:r w:rsidR="00C643E7">
        <w:rPr>
          <w:rFonts w:ascii="Montserrat" w:hAnsi="Montserrat"/>
          <w:sz w:val="22"/>
          <w:szCs w:val="22"/>
        </w:rPr>
        <w:t>31 de dic</w:t>
      </w:r>
      <w:r w:rsidR="00C643E7" w:rsidRPr="00192892">
        <w:rPr>
          <w:rFonts w:ascii="Montserrat" w:hAnsi="Montserrat"/>
          <w:sz w:val="22"/>
          <w:szCs w:val="22"/>
        </w:rPr>
        <w:t>iembre de 2024 y 2023</w:t>
      </w:r>
      <w:r w:rsidRPr="00192892">
        <w:rPr>
          <w:rFonts w:ascii="Montserrat" w:hAnsi="Montserrat"/>
          <w:sz w:val="22"/>
          <w:szCs w:val="22"/>
        </w:rPr>
        <w:t>, se encuentra integrado de:</w:t>
      </w:r>
    </w:p>
    <w:p w14:paraId="711DD4ED" w14:textId="77777777" w:rsidR="00926C5C" w:rsidRPr="00192892" w:rsidRDefault="00926C5C" w:rsidP="00926C5C">
      <w:pPr>
        <w:jc w:val="both"/>
        <w:rPr>
          <w:rFonts w:ascii="Montserrat" w:hAnsi="Montserrat"/>
          <w:sz w:val="22"/>
          <w:szCs w:val="22"/>
        </w:rPr>
      </w:pPr>
    </w:p>
    <w:p w14:paraId="207E823C" w14:textId="77777777" w:rsidR="00926C5C" w:rsidRPr="00192892" w:rsidRDefault="00926C5C" w:rsidP="00926C5C">
      <w:pPr>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5D324DCB"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499227C"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61CCCE94"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091DF450"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68260205" w14:textId="77777777" w:rsidTr="004B2ED9">
        <w:trPr>
          <w:trHeight w:val="58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6DDF4F71"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Anticipo a Proveedores por Adquisición de Bienes y Prestación de Servicios a Corto</w:t>
            </w:r>
          </w:p>
        </w:tc>
        <w:tc>
          <w:tcPr>
            <w:tcW w:w="2240" w:type="dxa"/>
            <w:tcBorders>
              <w:top w:val="nil"/>
              <w:left w:val="nil"/>
              <w:bottom w:val="single" w:sz="8" w:space="0" w:color="auto"/>
              <w:right w:val="single" w:sz="8" w:space="0" w:color="auto"/>
            </w:tcBorders>
            <w:shd w:val="clear" w:color="000000" w:fill="FFFFFF"/>
            <w:vAlign w:val="center"/>
            <w:hideMark/>
          </w:tcPr>
          <w:p w14:paraId="2AF79511"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24,459,285</w:t>
            </w:r>
          </w:p>
        </w:tc>
        <w:tc>
          <w:tcPr>
            <w:tcW w:w="2220" w:type="dxa"/>
            <w:tcBorders>
              <w:top w:val="nil"/>
              <w:left w:val="nil"/>
              <w:bottom w:val="single" w:sz="8" w:space="0" w:color="auto"/>
              <w:right w:val="single" w:sz="8" w:space="0" w:color="auto"/>
            </w:tcBorders>
            <w:shd w:val="clear" w:color="000000" w:fill="FFFFFF"/>
            <w:vAlign w:val="center"/>
            <w:hideMark/>
          </w:tcPr>
          <w:p w14:paraId="771E801E"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24,459,285</w:t>
            </w:r>
          </w:p>
        </w:tc>
      </w:tr>
      <w:tr w:rsidR="004B2ED9" w:rsidRPr="004B2ED9" w14:paraId="5A5678B8" w14:textId="77777777" w:rsidTr="004B2ED9">
        <w:trPr>
          <w:trHeight w:val="58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1528753A"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Anticipo a Contratistas por Obras Públicas a CP</w:t>
            </w:r>
          </w:p>
        </w:tc>
        <w:tc>
          <w:tcPr>
            <w:tcW w:w="2240" w:type="dxa"/>
            <w:tcBorders>
              <w:top w:val="nil"/>
              <w:left w:val="nil"/>
              <w:bottom w:val="single" w:sz="8" w:space="0" w:color="auto"/>
              <w:right w:val="single" w:sz="8" w:space="0" w:color="auto"/>
            </w:tcBorders>
            <w:shd w:val="clear" w:color="000000" w:fill="FFFFFF"/>
            <w:vAlign w:val="center"/>
            <w:hideMark/>
          </w:tcPr>
          <w:p w14:paraId="4C25EBC4"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138,318,501</w:t>
            </w:r>
          </w:p>
        </w:tc>
        <w:tc>
          <w:tcPr>
            <w:tcW w:w="2220" w:type="dxa"/>
            <w:tcBorders>
              <w:top w:val="nil"/>
              <w:left w:val="nil"/>
              <w:bottom w:val="single" w:sz="8" w:space="0" w:color="auto"/>
              <w:right w:val="single" w:sz="8" w:space="0" w:color="auto"/>
            </w:tcBorders>
            <w:shd w:val="clear" w:color="000000" w:fill="FFFFFF"/>
            <w:vAlign w:val="center"/>
            <w:hideMark/>
          </w:tcPr>
          <w:p w14:paraId="65D292CC"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99,420,896</w:t>
            </w:r>
          </w:p>
        </w:tc>
      </w:tr>
      <w:tr w:rsidR="004B2ED9" w:rsidRPr="004B2ED9" w14:paraId="1F7E7FBD"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4262182A"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4845DD9F"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162,777,786</w:t>
            </w:r>
          </w:p>
        </w:tc>
        <w:tc>
          <w:tcPr>
            <w:tcW w:w="2220" w:type="dxa"/>
            <w:tcBorders>
              <w:top w:val="nil"/>
              <w:left w:val="nil"/>
              <w:bottom w:val="single" w:sz="8" w:space="0" w:color="auto"/>
              <w:right w:val="single" w:sz="8" w:space="0" w:color="auto"/>
            </w:tcBorders>
            <w:shd w:val="clear" w:color="000000" w:fill="FFFFFF"/>
            <w:noWrap/>
            <w:vAlign w:val="center"/>
            <w:hideMark/>
          </w:tcPr>
          <w:p w14:paraId="3B53F8D9"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123,880,181</w:t>
            </w:r>
          </w:p>
        </w:tc>
      </w:tr>
    </w:tbl>
    <w:p w14:paraId="4CF75675" w14:textId="77777777" w:rsidR="00926C5C" w:rsidRPr="00192892" w:rsidRDefault="00926C5C" w:rsidP="00926C5C">
      <w:pPr>
        <w:jc w:val="both"/>
        <w:rPr>
          <w:rFonts w:ascii="Montserrat" w:hAnsi="Montserrat"/>
          <w:sz w:val="22"/>
          <w:szCs w:val="22"/>
        </w:rPr>
      </w:pPr>
    </w:p>
    <w:p w14:paraId="47BCA404" w14:textId="137B882E" w:rsidR="00926C5C" w:rsidRPr="00192892" w:rsidRDefault="00926C5C" w:rsidP="00926C5C">
      <w:pPr>
        <w:jc w:val="both"/>
        <w:rPr>
          <w:rFonts w:ascii="Montserrat" w:hAnsi="Montserrat"/>
          <w:sz w:val="22"/>
          <w:szCs w:val="22"/>
        </w:rPr>
      </w:pPr>
      <w:bookmarkStart w:id="13" w:name="_Hlk157390620"/>
      <w:r w:rsidRPr="00192892">
        <w:rPr>
          <w:rFonts w:ascii="Montserrat" w:hAnsi="Montserrat"/>
          <w:sz w:val="22"/>
          <w:szCs w:val="22"/>
        </w:rPr>
        <w:t xml:space="preserve">En el rubro de Derechos a recibir Efectivos y Equivalentes y Bienes o Servicios, cada dependencia del Poder </w:t>
      </w:r>
      <w:r w:rsidR="00C643E7">
        <w:rPr>
          <w:rFonts w:ascii="Montserrat" w:hAnsi="Montserrat"/>
          <w:sz w:val="22"/>
          <w:szCs w:val="22"/>
        </w:rPr>
        <w:t>Ejecutivo</w:t>
      </w:r>
      <w:r w:rsidRPr="00192892">
        <w:rPr>
          <w:rFonts w:ascii="Montserrat" w:hAnsi="Montserrat"/>
          <w:sz w:val="22"/>
          <w:szCs w:val="22"/>
        </w:rPr>
        <w:t xml:space="preserve"> debe señalar en sus notas de</w:t>
      </w:r>
      <w:r w:rsidR="00C643E7">
        <w:rPr>
          <w:rFonts w:ascii="Montserrat" w:hAnsi="Montserrat"/>
          <w:sz w:val="22"/>
          <w:szCs w:val="22"/>
        </w:rPr>
        <w:t xml:space="preserve"> </w:t>
      </w:r>
      <w:r w:rsidRPr="00192892">
        <w:rPr>
          <w:rFonts w:ascii="Montserrat" w:hAnsi="Montserrat"/>
          <w:sz w:val="22"/>
          <w:szCs w:val="22"/>
        </w:rPr>
        <w:t>l</w:t>
      </w:r>
      <w:r w:rsidR="00C643E7">
        <w:rPr>
          <w:rFonts w:ascii="Montserrat" w:hAnsi="Montserrat"/>
          <w:sz w:val="22"/>
          <w:szCs w:val="22"/>
        </w:rPr>
        <w:t xml:space="preserve">os Estados Financieros </w:t>
      </w:r>
      <w:r w:rsidRPr="00192892">
        <w:rPr>
          <w:rFonts w:ascii="Montserrat" w:hAnsi="Montserrat"/>
          <w:sz w:val="22"/>
          <w:szCs w:val="22"/>
        </w:rPr>
        <w:t xml:space="preserve">de manera desglosada los siguientes requerimientos: </w:t>
      </w:r>
    </w:p>
    <w:p w14:paraId="2AECFB4E" w14:textId="77777777" w:rsidR="00926C5C" w:rsidRPr="00192892" w:rsidRDefault="00926C5C" w:rsidP="00926C5C">
      <w:pPr>
        <w:jc w:val="both"/>
        <w:rPr>
          <w:rFonts w:ascii="Montserrat" w:hAnsi="Montserrat"/>
          <w:sz w:val="22"/>
          <w:szCs w:val="22"/>
        </w:rPr>
      </w:pPr>
    </w:p>
    <w:p w14:paraId="6071AE9C" w14:textId="6F46586A" w:rsidR="006F04B3" w:rsidRDefault="00926C5C" w:rsidP="00926C5C">
      <w:pPr>
        <w:jc w:val="both"/>
        <w:rPr>
          <w:rFonts w:ascii="Montserrat" w:hAnsi="Montserrat"/>
          <w:sz w:val="22"/>
          <w:szCs w:val="22"/>
        </w:rPr>
      </w:pPr>
      <w:r w:rsidRPr="00192892">
        <w:rPr>
          <w:rFonts w:ascii="Montserrat" w:hAnsi="Montserrat"/>
          <w:sz w:val="22"/>
          <w:szCs w:val="22"/>
        </w:rPr>
        <w:t>Por tipo de contribución se informará el monto que se encuentre pendiente de cobro y por recuperar de hasta cinco ejercicios anteriores, así mismo se deberán considerar los montos sujetos a algún tipo de juicio con una antigüedad mayor a la señalada y la factibilidad de cobro.</w:t>
      </w:r>
    </w:p>
    <w:p w14:paraId="78BABCA9" w14:textId="77777777" w:rsidR="006F04B3" w:rsidRDefault="006F04B3">
      <w:pPr>
        <w:rPr>
          <w:rFonts w:ascii="Montserrat" w:hAnsi="Montserrat"/>
          <w:sz w:val="22"/>
          <w:szCs w:val="22"/>
        </w:rPr>
      </w:pPr>
      <w:r>
        <w:rPr>
          <w:rFonts w:ascii="Montserrat" w:hAnsi="Montserrat"/>
          <w:sz w:val="22"/>
          <w:szCs w:val="22"/>
        </w:rPr>
        <w:br w:type="page"/>
      </w:r>
    </w:p>
    <w:p w14:paraId="04447742" w14:textId="77777777" w:rsidR="00926C5C" w:rsidRPr="00192892" w:rsidRDefault="00926C5C" w:rsidP="00926C5C">
      <w:pPr>
        <w:jc w:val="both"/>
        <w:rPr>
          <w:rFonts w:ascii="Montserrat" w:hAnsi="Montserrat"/>
          <w:sz w:val="22"/>
          <w:szCs w:val="22"/>
        </w:rPr>
      </w:pPr>
    </w:p>
    <w:p w14:paraId="519FD79F"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Deberán de informar de manera agrupada, los derechos a recibir efectivo y equivalentes, y bienes o servicios, (excepto cuentas por cobrar de contribuciones e inversiones financieras) en una desagregación por su vencimiento en días a 90, 180, menor o igual a 365 y mayor a 365. Adicionalmente, se informará de las características cualitativas relevantes que afecten a estas cuentas.</w:t>
      </w:r>
    </w:p>
    <w:p w14:paraId="7C1FD4E3" w14:textId="77777777" w:rsidR="00926C5C" w:rsidRPr="00192892" w:rsidRDefault="00926C5C" w:rsidP="00926C5C">
      <w:pPr>
        <w:jc w:val="both"/>
        <w:rPr>
          <w:rFonts w:ascii="Montserrat" w:hAnsi="Montserrat"/>
          <w:sz w:val="22"/>
          <w:szCs w:val="22"/>
        </w:rPr>
      </w:pPr>
    </w:p>
    <w:p w14:paraId="6C36F868"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6.- Inventarios</w:t>
      </w:r>
    </w:p>
    <w:p w14:paraId="13E49602" w14:textId="77777777" w:rsidR="00926C5C" w:rsidRPr="00192892" w:rsidRDefault="00926C5C" w:rsidP="00926C5C">
      <w:pPr>
        <w:pStyle w:val="Texto"/>
        <w:spacing w:after="0" w:line="203" w:lineRule="exact"/>
        <w:ind w:firstLine="289"/>
        <w:rPr>
          <w:rFonts w:ascii="Montserrat" w:hAnsi="Montserrat"/>
          <w:b/>
          <w:sz w:val="22"/>
          <w:szCs w:val="22"/>
          <w:lang w:val="es-MX"/>
        </w:rPr>
      </w:pPr>
    </w:p>
    <w:p w14:paraId="435B97AE"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Dentro del rubro de inventarios las dependencias del Poder Ejecutivo no presentan saldos, toda vez que por su actividad no es una cuenta que se requiera, ya que no cuentan con bienes para su transformación.</w:t>
      </w:r>
    </w:p>
    <w:p w14:paraId="2BD6B698" w14:textId="77777777" w:rsidR="00926C5C" w:rsidRPr="00192892" w:rsidRDefault="00926C5C" w:rsidP="00926C5C">
      <w:pPr>
        <w:pStyle w:val="ROMANOS"/>
        <w:spacing w:after="0" w:line="203" w:lineRule="exact"/>
        <w:ind w:hanging="431"/>
        <w:rPr>
          <w:rFonts w:ascii="Montserrat" w:hAnsi="Montserrat"/>
          <w:sz w:val="22"/>
          <w:szCs w:val="22"/>
          <w:lang w:val="es-MX"/>
        </w:rPr>
      </w:pPr>
    </w:p>
    <w:p w14:paraId="6727AA86" w14:textId="77777777" w:rsidR="00926C5C" w:rsidRPr="00192892" w:rsidRDefault="00926C5C" w:rsidP="00B9559F">
      <w:pPr>
        <w:keepNext/>
        <w:rPr>
          <w:rFonts w:ascii="Montserrat" w:hAnsi="Montserrat"/>
          <w:b/>
          <w:sz w:val="22"/>
          <w:szCs w:val="22"/>
        </w:rPr>
      </w:pPr>
      <w:r w:rsidRPr="00192892">
        <w:rPr>
          <w:rFonts w:ascii="Montserrat" w:hAnsi="Montserrat"/>
          <w:b/>
          <w:sz w:val="22"/>
          <w:szCs w:val="22"/>
        </w:rPr>
        <w:t>Nota 7.- Almacenes</w:t>
      </w:r>
    </w:p>
    <w:p w14:paraId="77C5D78E" w14:textId="77777777" w:rsidR="00926C5C" w:rsidRPr="00192892" w:rsidRDefault="00926C5C" w:rsidP="00926C5C">
      <w:pPr>
        <w:rPr>
          <w:rFonts w:ascii="Montserrat" w:hAnsi="Montserrat"/>
          <w:b/>
          <w:sz w:val="22"/>
          <w:szCs w:val="22"/>
        </w:rPr>
      </w:pPr>
    </w:p>
    <w:p w14:paraId="7BEB4C9B"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 xml:space="preserve">Dentro del rubro de almacenes las dependencias del Poder Ejecutivo no presentan saldos, toda vez que por su actividad no es una cuenta que se requiera, ya que no cuentan con Materiales de Administración, Emisión de Documentos y Artículos Oficiales ni Herramientas, Refacciones y Accesorios Menores para Consumo </w:t>
      </w:r>
    </w:p>
    <w:p w14:paraId="0CE6D76A" w14:textId="77777777" w:rsidR="00926C5C" w:rsidRPr="00192892" w:rsidRDefault="00926C5C" w:rsidP="00926C5C">
      <w:pPr>
        <w:rPr>
          <w:rFonts w:ascii="Montserrat" w:hAnsi="Montserrat"/>
          <w:b/>
          <w:sz w:val="22"/>
          <w:szCs w:val="22"/>
        </w:rPr>
      </w:pPr>
    </w:p>
    <w:p w14:paraId="0EE2AFCA" w14:textId="77777777" w:rsidR="00926C5C" w:rsidRPr="00192892" w:rsidRDefault="00926C5C" w:rsidP="00926C5C">
      <w:pPr>
        <w:rPr>
          <w:rFonts w:ascii="Montserrat" w:hAnsi="Montserrat"/>
          <w:sz w:val="22"/>
          <w:szCs w:val="22"/>
        </w:rPr>
      </w:pPr>
      <w:r w:rsidRPr="00192892">
        <w:rPr>
          <w:rFonts w:ascii="Montserrat" w:hAnsi="Montserrat"/>
          <w:b/>
          <w:sz w:val="22"/>
          <w:szCs w:val="22"/>
        </w:rPr>
        <w:t>Nota 8.- Inversiones Financieras a Largo Plazo.</w:t>
      </w:r>
    </w:p>
    <w:bookmarkEnd w:id="13"/>
    <w:p w14:paraId="297E874A" w14:textId="77777777" w:rsidR="00926C5C" w:rsidRPr="00192892" w:rsidRDefault="00926C5C" w:rsidP="00926C5C">
      <w:pPr>
        <w:jc w:val="both"/>
        <w:rPr>
          <w:rFonts w:ascii="Montserrat" w:hAnsi="Montserrat"/>
          <w:sz w:val="22"/>
          <w:szCs w:val="22"/>
        </w:rPr>
      </w:pPr>
    </w:p>
    <w:p w14:paraId="7618F07B" w14:textId="2EC75945" w:rsidR="00926C5C" w:rsidRPr="00192892" w:rsidRDefault="00926C5C" w:rsidP="00926C5C">
      <w:pPr>
        <w:jc w:val="both"/>
        <w:rPr>
          <w:rFonts w:ascii="Montserrat" w:hAnsi="Montserrat"/>
          <w:sz w:val="22"/>
          <w:szCs w:val="22"/>
        </w:rPr>
      </w:pPr>
      <w:r w:rsidRPr="00192892">
        <w:rPr>
          <w:rFonts w:ascii="Montserrat" w:hAnsi="Montserrat"/>
          <w:sz w:val="22"/>
          <w:szCs w:val="22"/>
        </w:rPr>
        <w:t>Del activo no circulante el rubro consolidado de Inversiones Financieras a Largo Plazo Consolidado, el saldo al</w:t>
      </w:r>
      <w:r w:rsidR="00C643E7" w:rsidRPr="00192892">
        <w:rPr>
          <w:rFonts w:ascii="Montserrat" w:hAnsi="Montserrat"/>
          <w:sz w:val="22"/>
          <w:szCs w:val="22"/>
        </w:rPr>
        <w:t xml:space="preserve"> </w:t>
      </w:r>
      <w:r w:rsidR="00C643E7">
        <w:rPr>
          <w:rFonts w:ascii="Montserrat" w:hAnsi="Montserrat"/>
          <w:sz w:val="22"/>
          <w:szCs w:val="22"/>
        </w:rPr>
        <w:t>31 de dic</w:t>
      </w:r>
      <w:r w:rsidR="00C643E7" w:rsidRPr="00192892">
        <w:rPr>
          <w:rFonts w:ascii="Montserrat" w:hAnsi="Montserrat"/>
          <w:sz w:val="22"/>
          <w:szCs w:val="22"/>
        </w:rPr>
        <w:t>iembre de 2024 y 2023</w:t>
      </w:r>
      <w:r w:rsidRPr="00192892">
        <w:rPr>
          <w:rFonts w:ascii="Montserrat" w:hAnsi="Montserrat"/>
          <w:sz w:val="22"/>
          <w:szCs w:val="22"/>
        </w:rPr>
        <w:t>, son exclusivos del Poder Ejecutivo, el cual tiene invertido en títulos, valores y demás instrumentos financieros, recuperables en un plazo mayor de doce meses, como se muestra a continuación:</w:t>
      </w:r>
    </w:p>
    <w:p w14:paraId="35CE8D47" w14:textId="77777777" w:rsidR="00926C5C" w:rsidRPr="00192892" w:rsidRDefault="00926C5C" w:rsidP="00926C5C">
      <w:pPr>
        <w:jc w:val="both"/>
        <w:rPr>
          <w:rFonts w:ascii="Montserrat" w:hAnsi="Montserrat"/>
          <w:sz w:val="22"/>
          <w:szCs w:val="22"/>
        </w:rPr>
      </w:pPr>
    </w:p>
    <w:p w14:paraId="500EBA87" w14:textId="77777777" w:rsidR="00926C5C" w:rsidRPr="00192892" w:rsidRDefault="00926C5C" w:rsidP="00926C5C">
      <w:pPr>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182D1997"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874B699"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308DFEC0"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5272C645"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3EFE26E8"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153B6523" w14:textId="77777777" w:rsidR="004B2ED9" w:rsidRPr="004B2ED9" w:rsidRDefault="004B2ED9" w:rsidP="004B2ED9">
            <w:pPr>
              <w:rPr>
                <w:rFonts w:eastAsia="Times New Roman" w:cs="Times New Roman"/>
                <w:color w:val="000000"/>
                <w:sz w:val="22"/>
                <w:szCs w:val="22"/>
                <w:lang w:val="es-MX"/>
              </w:rPr>
            </w:pPr>
            <w:r w:rsidRPr="004B2ED9">
              <w:rPr>
                <w:rFonts w:eastAsia="Times New Roman" w:cs="Times New Roman"/>
                <w:color w:val="000000"/>
                <w:sz w:val="22"/>
                <w:szCs w:val="22"/>
                <w:lang w:val="es-MX"/>
              </w:rPr>
              <w:t xml:space="preserve">Fideicomisos, Mandatos y Análogos </w:t>
            </w:r>
          </w:p>
        </w:tc>
        <w:tc>
          <w:tcPr>
            <w:tcW w:w="2240" w:type="dxa"/>
            <w:tcBorders>
              <w:top w:val="nil"/>
              <w:left w:val="nil"/>
              <w:bottom w:val="single" w:sz="8" w:space="0" w:color="auto"/>
              <w:right w:val="single" w:sz="8" w:space="0" w:color="auto"/>
            </w:tcBorders>
            <w:shd w:val="clear" w:color="000000" w:fill="FFFFFF"/>
            <w:vAlign w:val="center"/>
            <w:hideMark/>
          </w:tcPr>
          <w:p w14:paraId="22A3BACC"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1,956,043,021</w:t>
            </w:r>
          </w:p>
        </w:tc>
        <w:tc>
          <w:tcPr>
            <w:tcW w:w="2220" w:type="dxa"/>
            <w:tcBorders>
              <w:top w:val="nil"/>
              <w:left w:val="nil"/>
              <w:bottom w:val="single" w:sz="8" w:space="0" w:color="auto"/>
              <w:right w:val="single" w:sz="8" w:space="0" w:color="auto"/>
            </w:tcBorders>
            <w:shd w:val="clear" w:color="000000" w:fill="FFFFFF"/>
            <w:vAlign w:val="center"/>
            <w:hideMark/>
          </w:tcPr>
          <w:p w14:paraId="7E41D7BB"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1,862,928,917</w:t>
            </w:r>
          </w:p>
        </w:tc>
      </w:tr>
      <w:tr w:rsidR="004B2ED9" w:rsidRPr="004B2ED9" w14:paraId="496338C2"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3727636E"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7D1E41EF"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1,956,043,021</w:t>
            </w:r>
          </w:p>
        </w:tc>
        <w:tc>
          <w:tcPr>
            <w:tcW w:w="2220" w:type="dxa"/>
            <w:tcBorders>
              <w:top w:val="nil"/>
              <w:left w:val="nil"/>
              <w:bottom w:val="single" w:sz="8" w:space="0" w:color="auto"/>
              <w:right w:val="single" w:sz="8" w:space="0" w:color="auto"/>
            </w:tcBorders>
            <w:shd w:val="clear" w:color="000000" w:fill="FFFFFF"/>
            <w:noWrap/>
            <w:vAlign w:val="center"/>
            <w:hideMark/>
          </w:tcPr>
          <w:p w14:paraId="0CD458E6"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1,862,928,917</w:t>
            </w:r>
          </w:p>
        </w:tc>
      </w:tr>
    </w:tbl>
    <w:p w14:paraId="13A84C33" w14:textId="77777777" w:rsidR="00926C5C" w:rsidRPr="00192892" w:rsidRDefault="00926C5C" w:rsidP="00926C5C">
      <w:pPr>
        <w:pBdr>
          <w:top w:val="nil"/>
          <w:left w:val="nil"/>
          <w:bottom w:val="nil"/>
          <w:right w:val="nil"/>
          <w:between w:val="nil"/>
        </w:pBdr>
        <w:rPr>
          <w:rFonts w:ascii="Montserrat" w:hAnsi="Montserrat"/>
          <w:b/>
          <w:sz w:val="22"/>
          <w:szCs w:val="22"/>
        </w:rPr>
      </w:pPr>
    </w:p>
    <w:p w14:paraId="3A800EE7" w14:textId="77777777" w:rsidR="00926C5C" w:rsidRPr="00192892" w:rsidRDefault="00926C5C" w:rsidP="00926C5C">
      <w:pPr>
        <w:rPr>
          <w:rFonts w:ascii="Montserrat" w:hAnsi="Montserrat"/>
          <w:b/>
          <w:sz w:val="22"/>
          <w:szCs w:val="22"/>
        </w:rPr>
      </w:pPr>
      <w:bookmarkStart w:id="14" w:name="_Hlk157308841"/>
      <w:bookmarkStart w:id="15" w:name="_Hlk157390724"/>
    </w:p>
    <w:p w14:paraId="5DC88D9B"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9.- Bienes Muebles, Inmuebles e Intangibles</w:t>
      </w:r>
    </w:p>
    <w:p w14:paraId="71ED5D68" w14:textId="77777777" w:rsidR="00926C5C" w:rsidRPr="00192892" w:rsidRDefault="00926C5C" w:rsidP="00926C5C">
      <w:pPr>
        <w:rPr>
          <w:rFonts w:ascii="Montserrat" w:hAnsi="Montserrat"/>
          <w:b/>
          <w:sz w:val="22"/>
          <w:szCs w:val="22"/>
        </w:rPr>
      </w:pPr>
    </w:p>
    <w:p w14:paraId="3A25406A" w14:textId="77777777" w:rsidR="00926C5C" w:rsidRPr="00192892" w:rsidRDefault="00926C5C" w:rsidP="00926C5C">
      <w:pPr>
        <w:rPr>
          <w:rFonts w:ascii="Montserrat" w:hAnsi="Montserrat"/>
          <w:b/>
          <w:sz w:val="22"/>
          <w:szCs w:val="22"/>
        </w:rPr>
      </w:pPr>
      <w:r w:rsidRPr="00192892">
        <w:rPr>
          <w:rFonts w:ascii="Montserrat" w:hAnsi="Montserrat"/>
          <w:b/>
          <w:sz w:val="22"/>
          <w:szCs w:val="22"/>
        </w:rPr>
        <w:t>Bienes Inmuebles, Infraestructura y Construcciones en Proceso.</w:t>
      </w:r>
    </w:p>
    <w:bookmarkEnd w:id="14"/>
    <w:p w14:paraId="4224F00F" w14:textId="77777777" w:rsidR="00926C5C" w:rsidRPr="00192892" w:rsidRDefault="00926C5C" w:rsidP="00926C5C">
      <w:pPr>
        <w:jc w:val="both"/>
        <w:rPr>
          <w:rFonts w:ascii="Montserrat" w:hAnsi="Montserrat"/>
          <w:sz w:val="22"/>
          <w:szCs w:val="22"/>
        </w:rPr>
      </w:pPr>
    </w:p>
    <w:bookmarkEnd w:id="15"/>
    <w:p w14:paraId="1E1A4937" w14:textId="372081E5" w:rsidR="005F14C8"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 xml:space="preserve">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w:t>
      </w:r>
      <w:r w:rsidR="00C643E7" w:rsidRPr="00192892">
        <w:rPr>
          <w:rFonts w:ascii="Montserrat" w:hAnsi="Montserrat"/>
          <w:sz w:val="22"/>
          <w:szCs w:val="22"/>
        </w:rPr>
        <w:t xml:space="preserve">al </w:t>
      </w:r>
      <w:r w:rsidR="00C643E7">
        <w:rPr>
          <w:rFonts w:ascii="Montserrat" w:hAnsi="Montserrat"/>
          <w:sz w:val="22"/>
          <w:szCs w:val="22"/>
        </w:rPr>
        <w:t>31 de dic</w:t>
      </w:r>
      <w:r w:rsidR="00C643E7" w:rsidRPr="00192892">
        <w:rPr>
          <w:rFonts w:ascii="Montserrat" w:hAnsi="Montserrat"/>
          <w:sz w:val="22"/>
          <w:szCs w:val="22"/>
        </w:rPr>
        <w:t>iembre de 2024 y 2023</w:t>
      </w:r>
      <w:r w:rsidRPr="00192892">
        <w:rPr>
          <w:rFonts w:ascii="Montserrat" w:hAnsi="Montserrat"/>
          <w:sz w:val="22"/>
          <w:szCs w:val="22"/>
        </w:rPr>
        <w:t>, se integran de la siguiente forma</w:t>
      </w:r>
    </w:p>
    <w:p w14:paraId="752408ED" w14:textId="2EE49DCD" w:rsidR="005F14C8" w:rsidRDefault="005F14C8">
      <w:pPr>
        <w:rPr>
          <w:rFonts w:ascii="Montserrat" w:hAnsi="Montserrat"/>
          <w:sz w:val="22"/>
          <w:szCs w:val="22"/>
        </w:rPr>
      </w:pPr>
    </w:p>
    <w:p w14:paraId="2AB9C380" w14:textId="77777777" w:rsidR="006F04B3" w:rsidRDefault="006F04B3">
      <w:pPr>
        <w:rPr>
          <w:rFonts w:ascii="Montserrat" w:hAnsi="Montserrat"/>
          <w:sz w:val="22"/>
          <w:szCs w:val="22"/>
        </w:rPr>
      </w:pPr>
    </w:p>
    <w:p w14:paraId="12835016" w14:textId="77777777" w:rsidR="00926C5C" w:rsidRPr="00192892" w:rsidRDefault="00926C5C" w:rsidP="00926C5C">
      <w:pPr>
        <w:keepNext/>
        <w:keepLines/>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5802"/>
        <w:gridCol w:w="1670"/>
        <w:gridCol w:w="1670"/>
      </w:tblGrid>
      <w:tr w:rsidR="004B2ED9" w:rsidRPr="004B2ED9" w14:paraId="63DD7B3D" w14:textId="77777777" w:rsidTr="004B2ED9">
        <w:trPr>
          <w:trHeight w:val="315"/>
        </w:trPr>
        <w:tc>
          <w:tcPr>
            <w:tcW w:w="5802"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F054655" w14:textId="77777777" w:rsidR="004B2ED9" w:rsidRPr="00EE0424" w:rsidRDefault="004B2ED9" w:rsidP="00EE0424">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1569" w:type="dxa"/>
            <w:tcBorders>
              <w:top w:val="single" w:sz="8" w:space="0" w:color="auto"/>
              <w:left w:val="nil"/>
              <w:bottom w:val="single" w:sz="8" w:space="0" w:color="auto"/>
              <w:right w:val="single" w:sz="8" w:space="0" w:color="auto"/>
            </w:tcBorders>
            <w:shd w:val="clear" w:color="000000" w:fill="828282"/>
            <w:vAlign w:val="center"/>
            <w:hideMark/>
          </w:tcPr>
          <w:p w14:paraId="78680384" w14:textId="77777777" w:rsidR="004B2ED9" w:rsidRPr="00EE0424" w:rsidRDefault="004B2ED9" w:rsidP="00EE0424">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1569" w:type="dxa"/>
            <w:tcBorders>
              <w:top w:val="single" w:sz="8" w:space="0" w:color="auto"/>
              <w:left w:val="nil"/>
              <w:bottom w:val="single" w:sz="8" w:space="0" w:color="auto"/>
              <w:right w:val="single" w:sz="8" w:space="0" w:color="auto"/>
            </w:tcBorders>
            <w:shd w:val="clear" w:color="000000" w:fill="828282"/>
            <w:vAlign w:val="center"/>
            <w:hideMark/>
          </w:tcPr>
          <w:p w14:paraId="495BDA96" w14:textId="77777777" w:rsidR="004B2ED9" w:rsidRPr="00EE0424" w:rsidRDefault="004B2ED9" w:rsidP="00EE0424">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615EAA7B" w14:textId="77777777" w:rsidTr="004B2ED9">
        <w:trPr>
          <w:trHeight w:val="300"/>
        </w:trPr>
        <w:tc>
          <w:tcPr>
            <w:tcW w:w="5802" w:type="dxa"/>
            <w:tcBorders>
              <w:top w:val="nil"/>
              <w:left w:val="single" w:sz="8" w:space="0" w:color="auto"/>
              <w:bottom w:val="nil"/>
              <w:right w:val="single" w:sz="8" w:space="0" w:color="auto"/>
            </w:tcBorders>
            <w:shd w:val="clear" w:color="000000" w:fill="FFFFFF"/>
            <w:noWrap/>
            <w:vAlign w:val="center"/>
            <w:hideMark/>
          </w:tcPr>
          <w:p w14:paraId="42CDCFB1"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Terrenos</w:t>
            </w:r>
          </w:p>
        </w:tc>
        <w:tc>
          <w:tcPr>
            <w:tcW w:w="1569" w:type="dxa"/>
            <w:tcBorders>
              <w:top w:val="nil"/>
              <w:left w:val="nil"/>
              <w:bottom w:val="nil"/>
              <w:right w:val="single" w:sz="8" w:space="0" w:color="auto"/>
            </w:tcBorders>
            <w:shd w:val="clear" w:color="000000" w:fill="FFFFFF"/>
            <w:vAlign w:val="center"/>
            <w:hideMark/>
          </w:tcPr>
          <w:p w14:paraId="6CA58ECB"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5,788,439,769</w:t>
            </w:r>
          </w:p>
        </w:tc>
        <w:tc>
          <w:tcPr>
            <w:tcW w:w="1569" w:type="dxa"/>
            <w:tcBorders>
              <w:top w:val="nil"/>
              <w:left w:val="nil"/>
              <w:bottom w:val="nil"/>
              <w:right w:val="single" w:sz="8" w:space="0" w:color="auto"/>
            </w:tcBorders>
            <w:shd w:val="clear" w:color="000000" w:fill="FFFFFF"/>
            <w:vAlign w:val="center"/>
            <w:hideMark/>
          </w:tcPr>
          <w:p w14:paraId="2663E541"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5,188,195,114</w:t>
            </w:r>
          </w:p>
        </w:tc>
      </w:tr>
      <w:tr w:rsidR="004B2ED9" w:rsidRPr="004B2ED9" w14:paraId="0E8C1DCE" w14:textId="77777777" w:rsidTr="004B2ED9">
        <w:trPr>
          <w:trHeight w:val="300"/>
        </w:trPr>
        <w:tc>
          <w:tcPr>
            <w:tcW w:w="5802" w:type="dxa"/>
            <w:tcBorders>
              <w:top w:val="nil"/>
              <w:left w:val="single" w:sz="8" w:space="0" w:color="auto"/>
              <w:bottom w:val="nil"/>
              <w:right w:val="single" w:sz="8" w:space="0" w:color="auto"/>
            </w:tcBorders>
            <w:shd w:val="clear" w:color="000000" w:fill="FFFFFF"/>
            <w:noWrap/>
            <w:vAlign w:val="center"/>
            <w:hideMark/>
          </w:tcPr>
          <w:p w14:paraId="07BF0F8C"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Edificios No Habitacionales</w:t>
            </w:r>
          </w:p>
        </w:tc>
        <w:tc>
          <w:tcPr>
            <w:tcW w:w="1569" w:type="dxa"/>
            <w:tcBorders>
              <w:top w:val="nil"/>
              <w:left w:val="nil"/>
              <w:bottom w:val="nil"/>
              <w:right w:val="single" w:sz="8" w:space="0" w:color="auto"/>
            </w:tcBorders>
            <w:shd w:val="clear" w:color="000000" w:fill="FFFFFF"/>
            <w:vAlign w:val="center"/>
            <w:hideMark/>
          </w:tcPr>
          <w:p w14:paraId="47C41FB0"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5,655,908,427</w:t>
            </w:r>
          </w:p>
        </w:tc>
        <w:tc>
          <w:tcPr>
            <w:tcW w:w="1569" w:type="dxa"/>
            <w:tcBorders>
              <w:top w:val="nil"/>
              <w:left w:val="nil"/>
              <w:bottom w:val="nil"/>
              <w:right w:val="single" w:sz="8" w:space="0" w:color="auto"/>
            </w:tcBorders>
            <w:shd w:val="clear" w:color="000000" w:fill="FFFFFF"/>
            <w:vAlign w:val="center"/>
            <w:hideMark/>
          </w:tcPr>
          <w:p w14:paraId="4A0074C2"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5,525,343,815</w:t>
            </w:r>
          </w:p>
        </w:tc>
      </w:tr>
      <w:tr w:rsidR="004B2ED9" w:rsidRPr="004B2ED9" w14:paraId="4EF5A63F" w14:textId="77777777" w:rsidTr="004B2ED9">
        <w:trPr>
          <w:trHeight w:val="570"/>
        </w:trPr>
        <w:tc>
          <w:tcPr>
            <w:tcW w:w="5802" w:type="dxa"/>
            <w:tcBorders>
              <w:top w:val="nil"/>
              <w:left w:val="single" w:sz="8" w:space="0" w:color="auto"/>
              <w:bottom w:val="nil"/>
              <w:right w:val="single" w:sz="8" w:space="0" w:color="auto"/>
            </w:tcBorders>
            <w:shd w:val="clear" w:color="000000" w:fill="FFFFFF"/>
            <w:noWrap/>
            <w:vAlign w:val="center"/>
            <w:hideMark/>
          </w:tcPr>
          <w:p w14:paraId="30602DD2"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Construcciones En Proceso En Bienes De Dominio Público</w:t>
            </w:r>
          </w:p>
        </w:tc>
        <w:tc>
          <w:tcPr>
            <w:tcW w:w="1569" w:type="dxa"/>
            <w:tcBorders>
              <w:top w:val="nil"/>
              <w:left w:val="nil"/>
              <w:bottom w:val="nil"/>
              <w:right w:val="single" w:sz="8" w:space="0" w:color="auto"/>
            </w:tcBorders>
            <w:shd w:val="clear" w:color="000000" w:fill="FFFFFF"/>
            <w:vAlign w:val="center"/>
            <w:hideMark/>
          </w:tcPr>
          <w:p w14:paraId="74CA9DCA"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6,949,517,145</w:t>
            </w:r>
          </w:p>
        </w:tc>
        <w:tc>
          <w:tcPr>
            <w:tcW w:w="1569" w:type="dxa"/>
            <w:tcBorders>
              <w:top w:val="nil"/>
              <w:left w:val="nil"/>
              <w:bottom w:val="nil"/>
              <w:right w:val="single" w:sz="8" w:space="0" w:color="auto"/>
            </w:tcBorders>
            <w:shd w:val="clear" w:color="000000" w:fill="FFFFFF"/>
            <w:vAlign w:val="center"/>
            <w:hideMark/>
          </w:tcPr>
          <w:p w14:paraId="1C1439AF"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5,928,502,239</w:t>
            </w:r>
          </w:p>
        </w:tc>
      </w:tr>
      <w:tr w:rsidR="004B2ED9" w:rsidRPr="004B2ED9" w14:paraId="5E5FF2F9" w14:textId="77777777" w:rsidTr="004B2ED9">
        <w:trPr>
          <w:trHeight w:val="315"/>
        </w:trPr>
        <w:tc>
          <w:tcPr>
            <w:tcW w:w="5802" w:type="dxa"/>
            <w:tcBorders>
              <w:top w:val="nil"/>
              <w:left w:val="single" w:sz="8" w:space="0" w:color="auto"/>
              <w:bottom w:val="single" w:sz="8" w:space="0" w:color="auto"/>
              <w:right w:val="single" w:sz="8" w:space="0" w:color="auto"/>
            </w:tcBorders>
            <w:shd w:val="clear" w:color="000000" w:fill="FFFFFF"/>
            <w:noWrap/>
            <w:vAlign w:val="center"/>
            <w:hideMark/>
          </w:tcPr>
          <w:p w14:paraId="40F79727"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Construcciones En Proceso En Bienes Propios</w:t>
            </w:r>
          </w:p>
        </w:tc>
        <w:tc>
          <w:tcPr>
            <w:tcW w:w="1569" w:type="dxa"/>
            <w:tcBorders>
              <w:top w:val="nil"/>
              <w:left w:val="nil"/>
              <w:bottom w:val="single" w:sz="8" w:space="0" w:color="auto"/>
              <w:right w:val="single" w:sz="8" w:space="0" w:color="auto"/>
            </w:tcBorders>
            <w:shd w:val="clear" w:color="000000" w:fill="FFFFFF"/>
            <w:vAlign w:val="center"/>
            <w:hideMark/>
          </w:tcPr>
          <w:p w14:paraId="756E8BF4"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112,218,143</w:t>
            </w:r>
          </w:p>
        </w:tc>
        <w:tc>
          <w:tcPr>
            <w:tcW w:w="1569" w:type="dxa"/>
            <w:tcBorders>
              <w:top w:val="nil"/>
              <w:left w:val="nil"/>
              <w:bottom w:val="single" w:sz="8" w:space="0" w:color="auto"/>
              <w:right w:val="single" w:sz="8" w:space="0" w:color="auto"/>
            </w:tcBorders>
            <w:shd w:val="clear" w:color="000000" w:fill="FFFFFF"/>
            <w:vAlign w:val="center"/>
            <w:hideMark/>
          </w:tcPr>
          <w:p w14:paraId="2CFC1936"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108,716,759</w:t>
            </w:r>
          </w:p>
        </w:tc>
      </w:tr>
      <w:tr w:rsidR="004B2ED9" w:rsidRPr="004B2ED9" w14:paraId="1517EB48" w14:textId="77777777" w:rsidTr="004B2ED9">
        <w:trPr>
          <w:trHeight w:val="315"/>
        </w:trPr>
        <w:tc>
          <w:tcPr>
            <w:tcW w:w="5802" w:type="dxa"/>
            <w:tcBorders>
              <w:top w:val="nil"/>
              <w:left w:val="single" w:sz="8" w:space="0" w:color="auto"/>
              <w:bottom w:val="single" w:sz="8" w:space="0" w:color="auto"/>
              <w:right w:val="single" w:sz="8" w:space="0" w:color="auto"/>
            </w:tcBorders>
            <w:shd w:val="clear" w:color="000000" w:fill="FFFFFF"/>
            <w:noWrap/>
            <w:vAlign w:val="center"/>
            <w:hideMark/>
          </w:tcPr>
          <w:p w14:paraId="21F929CD"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 xml:space="preserve">Suma </w:t>
            </w:r>
          </w:p>
        </w:tc>
        <w:tc>
          <w:tcPr>
            <w:tcW w:w="1569" w:type="dxa"/>
            <w:tcBorders>
              <w:top w:val="nil"/>
              <w:left w:val="nil"/>
              <w:bottom w:val="single" w:sz="8" w:space="0" w:color="auto"/>
              <w:right w:val="single" w:sz="8" w:space="0" w:color="auto"/>
            </w:tcBorders>
            <w:shd w:val="clear" w:color="000000" w:fill="FFFFFF"/>
            <w:vAlign w:val="center"/>
            <w:hideMark/>
          </w:tcPr>
          <w:p w14:paraId="6EC5742A"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18,506,083,485</w:t>
            </w:r>
          </w:p>
        </w:tc>
        <w:tc>
          <w:tcPr>
            <w:tcW w:w="1569" w:type="dxa"/>
            <w:tcBorders>
              <w:top w:val="nil"/>
              <w:left w:val="nil"/>
              <w:bottom w:val="single" w:sz="8" w:space="0" w:color="auto"/>
              <w:right w:val="single" w:sz="8" w:space="0" w:color="auto"/>
            </w:tcBorders>
            <w:shd w:val="clear" w:color="000000" w:fill="FFFFFF"/>
            <w:vAlign w:val="center"/>
            <w:hideMark/>
          </w:tcPr>
          <w:p w14:paraId="28064F2B"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16,750,757,928</w:t>
            </w:r>
          </w:p>
        </w:tc>
      </w:tr>
    </w:tbl>
    <w:p w14:paraId="75C1E521" w14:textId="77777777" w:rsidR="00926C5C" w:rsidRPr="00192892" w:rsidRDefault="00926C5C" w:rsidP="00926C5C">
      <w:pPr>
        <w:tabs>
          <w:tab w:val="right" w:pos="8931"/>
        </w:tabs>
        <w:jc w:val="both"/>
        <w:rPr>
          <w:rFonts w:ascii="Montserrat" w:hAnsi="Montserrat"/>
          <w:b/>
          <w:sz w:val="22"/>
          <w:szCs w:val="22"/>
        </w:rPr>
      </w:pPr>
    </w:p>
    <w:p w14:paraId="47DE8337" w14:textId="77777777" w:rsidR="00C643E7" w:rsidRDefault="00C643E7" w:rsidP="00192892">
      <w:pPr>
        <w:keepNext/>
        <w:rPr>
          <w:rFonts w:ascii="Montserrat" w:hAnsi="Montserrat"/>
          <w:b/>
          <w:sz w:val="22"/>
          <w:szCs w:val="22"/>
        </w:rPr>
      </w:pPr>
    </w:p>
    <w:p w14:paraId="2A8023F1" w14:textId="343A9E7A" w:rsidR="00926C5C" w:rsidRPr="00192892" w:rsidRDefault="00926C5C" w:rsidP="00192892">
      <w:pPr>
        <w:keepNext/>
        <w:rPr>
          <w:rFonts w:ascii="Montserrat" w:hAnsi="Montserrat"/>
          <w:b/>
          <w:sz w:val="22"/>
          <w:szCs w:val="22"/>
        </w:rPr>
      </w:pPr>
      <w:r w:rsidRPr="00192892">
        <w:rPr>
          <w:rFonts w:ascii="Montserrat" w:hAnsi="Montserrat"/>
          <w:b/>
          <w:sz w:val="22"/>
          <w:szCs w:val="22"/>
        </w:rPr>
        <w:t>Bienes Muebles.</w:t>
      </w:r>
    </w:p>
    <w:p w14:paraId="10EF9F42" w14:textId="77777777" w:rsidR="00926C5C" w:rsidRPr="00192892" w:rsidRDefault="00926C5C" w:rsidP="00926C5C">
      <w:pPr>
        <w:jc w:val="both"/>
        <w:rPr>
          <w:rFonts w:ascii="Montserrat" w:hAnsi="Montserrat"/>
          <w:b/>
          <w:sz w:val="22"/>
          <w:szCs w:val="22"/>
        </w:rPr>
      </w:pPr>
    </w:p>
    <w:p w14:paraId="53BD5E1F" w14:textId="57100DAA"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 xml:space="preserve">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Pr="00192892">
        <w:rPr>
          <w:rFonts w:ascii="Montserrat" w:hAnsi="Montserrat"/>
          <w:sz w:val="22"/>
          <w:szCs w:val="22"/>
        </w:rPr>
        <w:t>, se detalla a continuación:</w:t>
      </w:r>
    </w:p>
    <w:p w14:paraId="22D0BF7A" w14:textId="77777777" w:rsidR="00926C5C" w:rsidRPr="00192892" w:rsidRDefault="00926C5C" w:rsidP="00926C5C">
      <w:pPr>
        <w:jc w:val="center"/>
        <w:rPr>
          <w:rFonts w:ascii="Montserrat" w:hAnsi="Montserrat"/>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604"/>
        <w:gridCol w:w="2177"/>
        <w:gridCol w:w="2159"/>
      </w:tblGrid>
      <w:tr w:rsidR="004B2ED9" w:rsidRPr="004B2ED9" w14:paraId="1B71FA19" w14:textId="77777777" w:rsidTr="004B2ED9">
        <w:trPr>
          <w:trHeight w:val="315"/>
        </w:trPr>
        <w:tc>
          <w:tcPr>
            <w:tcW w:w="4604"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D5BD2F6"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2177" w:type="dxa"/>
            <w:tcBorders>
              <w:top w:val="single" w:sz="8" w:space="0" w:color="auto"/>
              <w:left w:val="nil"/>
              <w:bottom w:val="single" w:sz="8" w:space="0" w:color="auto"/>
              <w:right w:val="single" w:sz="8" w:space="0" w:color="auto"/>
            </w:tcBorders>
            <w:shd w:val="clear" w:color="000000" w:fill="828282"/>
            <w:vAlign w:val="center"/>
            <w:hideMark/>
          </w:tcPr>
          <w:p w14:paraId="36B8FEBC"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2159" w:type="dxa"/>
            <w:tcBorders>
              <w:top w:val="single" w:sz="8" w:space="0" w:color="auto"/>
              <w:left w:val="nil"/>
              <w:bottom w:val="single" w:sz="8" w:space="0" w:color="auto"/>
              <w:right w:val="single" w:sz="8" w:space="0" w:color="auto"/>
            </w:tcBorders>
            <w:shd w:val="clear" w:color="000000" w:fill="828282"/>
            <w:vAlign w:val="center"/>
            <w:hideMark/>
          </w:tcPr>
          <w:p w14:paraId="72114431"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53C13111"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7E9452F1"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Mobiliario y Equipo de Administración</w:t>
            </w:r>
          </w:p>
        </w:tc>
        <w:tc>
          <w:tcPr>
            <w:tcW w:w="2177" w:type="dxa"/>
            <w:tcBorders>
              <w:top w:val="nil"/>
              <w:left w:val="nil"/>
              <w:bottom w:val="nil"/>
              <w:right w:val="single" w:sz="8" w:space="0" w:color="auto"/>
            </w:tcBorders>
            <w:shd w:val="clear" w:color="000000" w:fill="FFFFFF"/>
            <w:noWrap/>
            <w:vAlign w:val="center"/>
            <w:hideMark/>
          </w:tcPr>
          <w:p w14:paraId="1B3EDACB"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599,834,122</w:t>
            </w:r>
          </w:p>
        </w:tc>
        <w:tc>
          <w:tcPr>
            <w:tcW w:w="2159" w:type="dxa"/>
            <w:tcBorders>
              <w:top w:val="nil"/>
              <w:left w:val="nil"/>
              <w:bottom w:val="nil"/>
              <w:right w:val="single" w:sz="8" w:space="0" w:color="auto"/>
            </w:tcBorders>
            <w:shd w:val="clear" w:color="000000" w:fill="FFFFFF"/>
            <w:noWrap/>
            <w:vAlign w:val="center"/>
            <w:hideMark/>
          </w:tcPr>
          <w:p w14:paraId="555C5F4F"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540,771,914</w:t>
            </w:r>
          </w:p>
        </w:tc>
      </w:tr>
      <w:tr w:rsidR="004B2ED9" w:rsidRPr="004B2ED9" w14:paraId="08502530"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35842B13"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Mobiliario y Equipo Educacional y Recreativo</w:t>
            </w:r>
          </w:p>
        </w:tc>
        <w:tc>
          <w:tcPr>
            <w:tcW w:w="2177" w:type="dxa"/>
            <w:tcBorders>
              <w:top w:val="nil"/>
              <w:left w:val="nil"/>
              <w:bottom w:val="nil"/>
              <w:right w:val="single" w:sz="8" w:space="0" w:color="auto"/>
            </w:tcBorders>
            <w:shd w:val="clear" w:color="000000" w:fill="FFFFFF"/>
            <w:noWrap/>
            <w:vAlign w:val="center"/>
            <w:hideMark/>
          </w:tcPr>
          <w:p w14:paraId="2A753FD6"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191,440,791</w:t>
            </w:r>
          </w:p>
        </w:tc>
        <w:tc>
          <w:tcPr>
            <w:tcW w:w="2159" w:type="dxa"/>
            <w:tcBorders>
              <w:top w:val="nil"/>
              <w:left w:val="nil"/>
              <w:bottom w:val="nil"/>
              <w:right w:val="single" w:sz="8" w:space="0" w:color="auto"/>
            </w:tcBorders>
            <w:shd w:val="clear" w:color="000000" w:fill="FFFFFF"/>
            <w:noWrap/>
            <w:vAlign w:val="center"/>
            <w:hideMark/>
          </w:tcPr>
          <w:p w14:paraId="6F1EB69A"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179,321,944</w:t>
            </w:r>
          </w:p>
        </w:tc>
      </w:tr>
      <w:tr w:rsidR="004B2ED9" w:rsidRPr="004B2ED9" w14:paraId="21A19F4B"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05AF6401"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Equipo e Instrumental Médico y de Laboratorio</w:t>
            </w:r>
          </w:p>
        </w:tc>
        <w:tc>
          <w:tcPr>
            <w:tcW w:w="2177" w:type="dxa"/>
            <w:tcBorders>
              <w:top w:val="nil"/>
              <w:left w:val="nil"/>
              <w:bottom w:val="nil"/>
              <w:right w:val="single" w:sz="8" w:space="0" w:color="auto"/>
            </w:tcBorders>
            <w:shd w:val="clear" w:color="000000" w:fill="FFFFFF"/>
            <w:noWrap/>
            <w:vAlign w:val="center"/>
            <w:hideMark/>
          </w:tcPr>
          <w:p w14:paraId="349C2B5E"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18,545,655</w:t>
            </w:r>
          </w:p>
        </w:tc>
        <w:tc>
          <w:tcPr>
            <w:tcW w:w="2159" w:type="dxa"/>
            <w:tcBorders>
              <w:top w:val="nil"/>
              <w:left w:val="nil"/>
              <w:bottom w:val="nil"/>
              <w:right w:val="single" w:sz="8" w:space="0" w:color="auto"/>
            </w:tcBorders>
            <w:shd w:val="clear" w:color="000000" w:fill="FFFFFF"/>
            <w:noWrap/>
            <w:vAlign w:val="center"/>
            <w:hideMark/>
          </w:tcPr>
          <w:p w14:paraId="6638870B"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18,485,980</w:t>
            </w:r>
          </w:p>
        </w:tc>
      </w:tr>
      <w:tr w:rsidR="004B2ED9" w:rsidRPr="004B2ED9" w14:paraId="7B586D24"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5068C21B"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Vehículos y Equipo de Transporte</w:t>
            </w:r>
          </w:p>
        </w:tc>
        <w:tc>
          <w:tcPr>
            <w:tcW w:w="2177" w:type="dxa"/>
            <w:tcBorders>
              <w:top w:val="nil"/>
              <w:left w:val="nil"/>
              <w:bottom w:val="nil"/>
              <w:right w:val="single" w:sz="8" w:space="0" w:color="auto"/>
            </w:tcBorders>
            <w:shd w:val="clear" w:color="000000" w:fill="FFFFFF"/>
            <w:noWrap/>
            <w:vAlign w:val="center"/>
            <w:hideMark/>
          </w:tcPr>
          <w:p w14:paraId="5DEB790C"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1,123,069,764</w:t>
            </w:r>
          </w:p>
        </w:tc>
        <w:tc>
          <w:tcPr>
            <w:tcW w:w="2159" w:type="dxa"/>
            <w:tcBorders>
              <w:top w:val="nil"/>
              <w:left w:val="nil"/>
              <w:bottom w:val="nil"/>
              <w:right w:val="single" w:sz="8" w:space="0" w:color="auto"/>
            </w:tcBorders>
            <w:shd w:val="clear" w:color="000000" w:fill="FFFFFF"/>
            <w:noWrap/>
            <w:vAlign w:val="center"/>
            <w:hideMark/>
          </w:tcPr>
          <w:p w14:paraId="2D8FA923"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1,114,754,699</w:t>
            </w:r>
          </w:p>
        </w:tc>
      </w:tr>
      <w:tr w:rsidR="004B2ED9" w:rsidRPr="004B2ED9" w14:paraId="79851DB4"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0A5FFE95"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Equipo de Defensa y Seguridad</w:t>
            </w:r>
          </w:p>
        </w:tc>
        <w:tc>
          <w:tcPr>
            <w:tcW w:w="2177" w:type="dxa"/>
            <w:tcBorders>
              <w:top w:val="nil"/>
              <w:left w:val="nil"/>
              <w:bottom w:val="nil"/>
              <w:right w:val="single" w:sz="8" w:space="0" w:color="auto"/>
            </w:tcBorders>
            <w:shd w:val="clear" w:color="000000" w:fill="FFFFFF"/>
            <w:noWrap/>
            <w:vAlign w:val="center"/>
            <w:hideMark/>
          </w:tcPr>
          <w:p w14:paraId="1FB66163"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245,010,471</w:t>
            </w:r>
          </w:p>
        </w:tc>
        <w:tc>
          <w:tcPr>
            <w:tcW w:w="2159" w:type="dxa"/>
            <w:tcBorders>
              <w:top w:val="nil"/>
              <w:left w:val="nil"/>
              <w:bottom w:val="nil"/>
              <w:right w:val="single" w:sz="8" w:space="0" w:color="auto"/>
            </w:tcBorders>
            <w:shd w:val="clear" w:color="000000" w:fill="FFFFFF"/>
            <w:noWrap/>
            <w:vAlign w:val="center"/>
            <w:hideMark/>
          </w:tcPr>
          <w:p w14:paraId="32C2E2D7"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238,832,832</w:t>
            </w:r>
          </w:p>
        </w:tc>
      </w:tr>
      <w:tr w:rsidR="004B2ED9" w:rsidRPr="004B2ED9" w14:paraId="269BCC2A"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02D18D29"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Maquinaria, Otros Equipos y Herramientas</w:t>
            </w:r>
          </w:p>
        </w:tc>
        <w:tc>
          <w:tcPr>
            <w:tcW w:w="2177" w:type="dxa"/>
            <w:tcBorders>
              <w:top w:val="nil"/>
              <w:left w:val="nil"/>
              <w:bottom w:val="nil"/>
              <w:right w:val="single" w:sz="8" w:space="0" w:color="auto"/>
            </w:tcBorders>
            <w:shd w:val="clear" w:color="000000" w:fill="FFFFFF"/>
            <w:noWrap/>
            <w:vAlign w:val="center"/>
            <w:hideMark/>
          </w:tcPr>
          <w:p w14:paraId="3C2120A8"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394,577,563</w:t>
            </w:r>
          </w:p>
        </w:tc>
        <w:tc>
          <w:tcPr>
            <w:tcW w:w="2159" w:type="dxa"/>
            <w:tcBorders>
              <w:top w:val="nil"/>
              <w:left w:val="nil"/>
              <w:bottom w:val="nil"/>
              <w:right w:val="single" w:sz="8" w:space="0" w:color="auto"/>
            </w:tcBorders>
            <w:shd w:val="clear" w:color="000000" w:fill="FFFFFF"/>
            <w:noWrap/>
            <w:vAlign w:val="center"/>
            <w:hideMark/>
          </w:tcPr>
          <w:p w14:paraId="5DEEA0CD"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381,669,718</w:t>
            </w:r>
          </w:p>
        </w:tc>
      </w:tr>
      <w:tr w:rsidR="004B2ED9" w:rsidRPr="004B2ED9" w14:paraId="2AF15051"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41F42C1E"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Colecciones, Obras de Arte y Objetos Valiosos</w:t>
            </w:r>
          </w:p>
        </w:tc>
        <w:tc>
          <w:tcPr>
            <w:tcW w:w="2177" w:type="dxa"/>
            <w:tcBorders>
              <w:top w:val="nil"/>
              <w:left w:val="nil"/>
              <w:bottom w:val="nil"/>
              <w:right w:val="single" w:sz="8" w:space="0" w:color="auto"/>
            </w:tcBorders>
            <w:shd w:val="clear" w:color="000000" w:fill="FFFFFF"/>
            <w:noWrap/>
            <w:vAlign w:val="center"/>
            <w:hideMark/>
          </w:tcPr>
          <w:p w14:paraId="4F4D51F7"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56,553,973</w:t>
            </w:r>
          </w:p>
        </w:tc>
        <w:tc>
          <w:tcPr>
            <w:tcW w:w="2159" w:type="dxa"/>
            <w:tcBorders>
              <w:top w:val="nil"/>
              <w:left w:val="nil"/>
              <w:bottom w:val="nil"/>
              <w:right w:val="single" w:sz="8" w:space="0" w:color="auto"/>
            </w:tcBorders>
            <w:shd w:val="clear" w:color="000000" w:fill="FFFFFF"/>
            <w:noWrap/>
            <w:vAlign w:val="center"/>
            <w:hideMark/>
          </w:tcPr>
          <w:p w14:paraId="644E4D1D"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52,363,973</w:t>
            </w:r>
          </w:p>
        </w:tc>
      </w:tr>
      <w:tr w:rsidR="004B2ED9" w:rsidRPr="004B2ED9" w14:paraId="176B18FE" w14:textId="77777777" w:rsidTr="004B2ED9">
        <w:trPr>
          <w:trHeight w:val="315"/>
        </w:trPr>
        <w:tc>
          <w:tcPr>
            <w:tcW w:w="4604" w:type="dxa"/>
            <w:tcBorders>
              <w:top w:val="nil"/>
              <w:left w:val="single" w:sz="8" w:space="0" w:color="auto"/>
              <w:bottom w:val="single" w:sz="8" w:space="0" w:color="auto"/>
              <w:right w:val="single" w:sz="8" w:space="0" w:color="auto"/>
            </w:tcBorders>
            <w:shd w:val="clear" w:color="000000" w:fill="FFFFFF"/>
            <w:noWrap/>
            <w:vAlign w:val="center"/>
            <w:hideMark/>
          </w:tcPr>
          <w:p w14:paraId="06A2F3CB"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Activos Biológicos</w:t>
            </w:r>
          </w:p>
        </w:tc>
        <w:tc>
          <w:tcPr>
            <w:tcW w:w="2177" w:type="dxa"/>
            <w:tcBorders>
              <w:top w:val="nil"/>
              <w:left w:val="nil"/>
              <w:bottom w:val="single" w:sz="8" w:space="0" w:color="auto"/>
              <w:right w:val="single" w:sz="8" w:space="0" w:color="auto"/>
            </w:tcBorders>
            <w:shd w:val="clear" w:color="000000" w:fill="FFFFFF"/>
            <w:noWrap/>
            <w:vAlign w:val="center"/>
            <w:hideMark/>
          </w:tcPr>
          <w:p w14:paraId="346F6759"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184,000</w:t>
            </w:r>
          </w:p>
        </w:tc>
        <w:tc>
          <w:tcPr>
            <w:tcW w:w="2159" w:type="dxa"/>
            <w:tcBorders>
              <w:top w:val="nil"/>
              <w:left w:val="nil"/>
              <w:bottom w:val="single" w:sz="8" w:space="0" w:color="auto"/>
              <w:right w:val="single" w:sz="8" w:space="0" w:color="auto"/>
            </w:tcBorders>
            <w:shd w:val="clear" w:color="000000" w:fill="FFFFFF"/>
            <w:noWrap/>
            <w:vAlign w:val="center"/>
            <w:hideMark/>
          </w:tcPr>
          <w:p w14:paraId="30DC8871"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184,000</w:t>
            </w:r>
          </w:p>
        </w:tc>
      </w:tr>
      <w:tr w:rsidR="004B2ED9" w:rsidRPr="004B2ED9" w14:paraId="0B96AD23" w14:textId="77777777" w:rsidTr="004B2ED9">
        <w:trPr>
          <w:trHeight w:val="315"/>
        </w:trPr>
        <w:tc>
          <w:tcPr>
            <w:tcW w:w="4604" w:type="dxa"/>
            <w:tcBorders>
              <w:top w:val="nil"/>
              <w:left w:val="single" w:sz="8" w:space="0" w:color="auto"/>
              <w:bottom w:val="single" w:sz="8" w:space="0" w:color="auto"/>
              <w:right w:val="single" w:sz="8" w:space="0" w:color="auto"/>
            </w:tcBorders>
            <w:shd w:val="clear" w:color="000000" w:fill="FFFFFF"/>
            <w:noWrap/>
            <w:vAlign w:val="center"/>
            <w:hideMark/>
          </w:tcPr>
          <w:p w14:paraId="02AA75C2"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2177" w:type="dxa"/>
            <w:tcBorders>
              <w:top w:val="nil"/>
              <w:left w:val="nil"/>
              <w:bottom w:val="single" w:sz="8" w:space="0" w:color="auto"/>
              <w:right w:val="single" w:sz="8" w:space="0" w:color="auto"/>
            </w:tcBorders>
            <w:shd w:val="clear" w:color="000000" w:fill="FFFFFF"/>
            <w:vAlign w:val="center"/>
            <w:hideMark/>
          </w:tcPr>
          <w:p w14:paraId="607450C4"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2,629,216,339</w:t>
            </w:r>
          </w:p>
        </w:tc>
        <w:tc>
          <w:tcPr>
            <w:tcW w:w="2159" w:type="dxa"/>
            <w:tcBorders>
              <w:top w:val="nil"/>
              <w:left w:val="nil"/>
              <w:bottom w:val="single" w:sz="8" w:space="0" w:color="auto"/>
              <w:right w:val="single" w:sz="8" w:space="0" w:color="auto"/>
            </w:tcBorders>
            <w:shd w:val="clear" w:color="000000" w:fill="FFFFFF"/>
            <w:vAlign w:val="center"/>
            <w:hideMark/>
          </w:tcPr>
          <w:p w14:paraId="694B5F5F"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2,526,385,060</w:t>
            </w:r>
          </w:p>
        </w:tc>
      </w:tr>
    </w:tbl>
    <w:p w14:paraId="36DC98F4" w14:textId="77777777" w:rsidR="00926C5C" w:rsidRPr="00192892" w:rsidRDefault="00926C5C" w:rsidP="00926C5C">
      <w:pPr>
        <w:jc w:val="both"/>
        <w:rPr>
          <w:rFonts w:ascii="Montserrat" w:hAnsi="Montserrat"/>
          <w:b/>
          <w:sz w:val="22"/>
          <w:szCs w:val="22"/>
        </w:rPr>
      </w:pPr>
    </w:p>
    <w:p w14:paraId="47E49AFD" w14:textId="77777777" w:rsidR="00926C5C" w:rsidRPr="00192892" w:rsidRDefault="00926C5C" w:rsidP="00926C5C">
      <w:pPr>
        <w:jc w:val="both"/>
        <w:rPr>
          <w:rFonts w:ascii="Montserrat" w:hAnsi="Montserrat"/>
          <w:b/>
          <w:sz w:val="22"/>
          <w:szCs w:val="22"/>
        </w:rPr>
      </w:pPr>
      <w:r w:rsidRPr="00192892">
        <w:rPr>
          <w:rFonts w:ascii="Montserrat" w:hAnsi="Montserrat"/>
          <w:b/>
          <w:sz w:val="22"/>
          <w:szCs w:val="22"/>
        </w:rPr>
        <w:t>Activos Intangibles.</w:t>
      </w:r>
    </w:p>
    <w:p w14:paraId="281AA74A" w14:textId="77777777" w:rsidR="00926C5C" w:rsidRPr="00192892" w:rsidRDefault="00926C5C" w:rsidP="00926C5C">
      <w:pPr>
        <w:jc w:val="both"/>
        <w:rPr>
          <w:rFonts w:ascii="Montserrat" w:hAnsi="Montserrat"/>
          <w:b/>
          <w:sz w:val="22"/>
          <w:szCs w:val="22"/>
        </w:rPr>
      </w:pPr>
    </w:p>
    <w:p w14:paraId="21909162" w14:textId="77777777"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El saldo de este rubro representa el valor de los bienes intangibles propiedad del Poder Ejecutivo por concepto de software y licencias por el uso de los derechos.</w:t>
      </w:r>
    </w:p>
    <w:p w14:paraId="42262BBA" w14:textId="77777777" w:rsidR="00926C5C" w:rsidRPr="00192892" w:rsidRDefault="00926C5C" w:rsidP="00926C5C">
      <w:pPr>
        <w:pBdr>
          <w:top w:val="nil"/>
          <w:left w:val="nil"/>
          <w:bottom w:val="nil"/>
          <w:right w:val="nil"/>
          <w:between w:val="nil"/>
        </w:pBdr>
        <w:jc w:val="both"/>
        <w:rPr>
          <w:rFonts w:ascii="Montserrat" w:hAnsi="Montserrat"/>
          <w:sz w:val="22"/>
          <w:szCs w:val="22"/>
        </w:rPr>
      </w:pPr>
    </w:p>
    <w:p w14:paraId="4D685137" w14:textId="10A37A9C"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 xml:space="preserve">El saldo de estos activos se integra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Pr="00192892">
        <w:rPr>
          <w:rFonts w:ascii="Montserrat" w:hAnsi="Montserrat"/>
          <w:sz w:val="22"/>
          <w:szCs w:val="22"/>
        </w:rPr>
        <w:t>, de:</w:t>
      </w:r>
    </w:p>
    <w:p w14:paraId="33111871" w14:textId="77777777" w:rsidR="005F14C8" w:rsidRDefault="005F14C8" w:rsidP="00926C5C">
      <w:pPr>
        <w:pBdr>
          <w:top w:val="nil"/>
          <w:left w:val="nil"/>
          <w:bottom w:val="nil"/>
          <w:right w:val="nil"/>
          <w:between w:val="nil"/>
        </w:pBdr>
        <w:jc w:val="center"/>
        <w:rPr>
          <w:rFonts w:ascii="Montserrat" w:hAnsi="Montserrat"/>
          <w:b/>
          <w:sz w:val="22"/>
          <w:szCs w:val="22"/>
        </w:rPr>
      </w:pPr>
    </w:p>
    <w:p w14:paraId="7FB1FE0C" w14:textId="77777777" w:rsidR="005F14C8" w:rsidRDefault="005F14C8" w:rsidP="00926C5C">
      <w:pPr>
        <w:pBdr>
          <w:top w:val="nil"/>
          <w:left w:val="nil"/>
          <w:bottom w:val="nil"/>
          <w:right w:val="nil"/>
          <w:between w:val="nil"/>
        </w:pBdr>
        <w:jc w:val="center"/>
        <w:rPr>
          <w:rFonts w:ascii="Montserrat" w:hAnsi="Montserrat"/>
          <w:b/>
          <w:sz w:val="22"/>
          <w:szCs w:val="22"/>
        </w:rPr>
      </w:pPr>
    </w:p>
    <w:p w14:paraId="3600923C" w14:textId="31E37FFE" w:rsidR="00926C5C" w:rsidRPr="00192892" w:rsidRDefault="00926C5C" w:rsidP="00926C5C">
      <w:pPr>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17F9B206"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5545D349"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72C78CEE"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6C767880"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20961217" w14:textId="77777777" w:rsidTr="004B2ED9">
        <w:trPr>
          <w:trHeight w:val="300"/>
        </w:trPr>
        <w:tc>
          <w:tcPr>
            <w:tcW w:w="4480" w:type="dxa"/>
            <w:tcBorders>
              <w:top w:val="nil"/>
              <w:left w:val="single" w:sz="8" w:space="0" w:color="auto"/>
              <w:bottom w:val="nil"/>
              <w:right w:val="single" w:sz="8" w:space="0" w:color="auto"/>
            </w:tcBorders>
            <w:shd w:val="clear" w:color="000000" w:fill="FFFFFF"/>
            <w:noWrap/>
            <w:vAlign w:val="center"/>
            <w:hideMark/>
          </w:tcPr>
          <w:p w14:paraId="612F5CD4"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Software</w:t>
            </w:r>
          </w:p>
        </w:tc>
        <w:tc>
          <w:tcPr>
            <w:tcW w:w="2240" w:type="dxa"/>
            <w:tcBorders>
              <w:top w:val="nil"/>
              <w:left w:val="nil"/>
              <w:bottom w:val="nil"/>
              <w:right w:val="single" w:sz="8" w:space="0" w:color="auto"/>
            </w:tcBorders>
            <w:shd w:val="clear" w:color="000000" w:fill="FFFFFF"/>
            <w:vAlign w:val="center"/>
            <w:hideMark/>
          </w:tcPr>
          <w:p w14:paraId="71092A3F"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218,815,133</w:t>
            </w:r>
          </w:p>
        </w:tc>
        <w:tc>
          <w:tcPr>
            <w:tcW w:w="2220" w:type="dxa"/>
            <w:tcBorders>
              <w:top w:val="nil"/>
              <w:left w:val="nil"/>
              <w:bottom w:val="nil"/>
              <w:right w:val="single" w:sz="8" w:space="0" w:color="auto"/>
            </w:tcBorders>
            <w:shd w:val="clear" w:color="000000" w:fill="FFFFFF"/>
            <w:vAlign w:val="center"/>
            <w:hideMark/>
          </w:tcPr>
          <w:p w14:paraId="07A6AF0C"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141,736,449</w:t>
            </w:r>
          </w:p>
        </w:tc>
      </w:tr>
      <w:tr w:rsidR="004B2ED9" w:rsidRPr="004B2ED9" w14:paraId="2FE55FB8" w14:textId="77777777" w:rsidTr="004B2ED9">
        <w:trPr>
          <w:trHeight w:val="300"/>
        </w:trPr>
        <w:tc>
          <w:tcPr>
            <w:tcW w:w="4480" w:type="dxa"/>
            <w:tcBorders>
              <w:top w:val="nil"/>
              <w:left w:val="single" w:sz="8" w:space="0" w:color="auto"/>
              <w:bottom w:val="nil"/>
              <w:right w:val="single" w:sz="8" w:space="0" w:color="auto"/>
            </w:tcBorders>
            <w:shd w:val="clear" w:color="000000" w:fill="FFFFFF"/>
            <w:noWrap/>
            <w:vAlign w:val="center"/>
            <w:hideMark/>
          </w:tcPr>
          <w:p w14:paraId="3840AEB5"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Patentes, Marcas Y Derechos</w:t>
            </w:r>
          </w:p>
        </w:tc>
        <w:tc>
          <w:tcPr>
            <w:tcW w:w="2240" w:type="dxa"/>
            <w:tcBorders>
              <w:top w:val="nil"/>
              <w:left w:val="nil"/>
              <w:bottom w:val="nil"/>
              <w:right w:val="single" w:sz="8" w:space="0" w:color="auto"/>
            </w:tcBorders>
            <w:shd w:val="clear" w:color="000000" w:fill="FFFFFF"/>
            <w:vAlign w:val="center"/>
            <w:hideMark/>
          </w:tcPr>
          <w:p w14:paraId="247B31FE"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1,442,309</w:t>
            </w:r>
          </w:p>
        </w:tc>
        <w:tc>
          <w:tcPr>
            <w:tcW w:w="2220" w:type="dxa"/>
            <w:tcBorders>
              <w:top w:val="nil"/>
              <w:left w:val="nil"/>
              <w:bottom w:val="nil"/>
              <w:right w:val="single" w:sz="8" w:space="0" w:color="auto"/>
            </w:tcBorders>
            <w:shd w:val="clear" w:color="000000" w:fill="FFFFFF"/>
            <w:vAlign w:val="center"/>
            <w:hideMark/>
          </w:tcPr>
          <w:p w14:paraId="2539A7C1"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1,417,646</w:t>
            </w:r>
          </w:p>
        </w:tc>
      </w:tr>
      <w:tr w:rsidR="004B2ED9" w:rsidRPr="004B2ED9" w14:paraId="0F163309"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0D95F010"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Licencias</w:t>
            </w:r>
          </w:p>
        </w:tc>
        <w:tc>
          <w:tcPr>
            <w:tcW w:w="2240" w:type="dxa"/>
            <w:tcBorders>
              <w:top w:val="nil"/>
              <w:left w:val="nil"/>
              <w:bottom w:val="single" w:sz="8" w:space="0" w:color="auto"/>
              <w:right w:val="single" w:sz="8" w:space="0" w:color="auto"/>
            </w:tcBorders>
            <w:shd w:val="clear" w:color="000000" w:fill="FFFFFF"/>
            <w:vAlign w:val="center"/>
            <w:hideMark/>
          </w:tcPr>
          <w:p w14:paraId="4C273D99"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89,394,780</w:t>
            </w:r>
          </w:p>
        </w:tc>
        <w:tc>
          <w:tcPr>
            <w:tcW w:w="2220" w:type="dxa"/>
            <w:tcBorders>
              <w:top w:val="nil"/>
              <w:left w:val="nil"/>
              <w:bottom w:val="single" w:sz="8" w:space="0" w:color="auto"/>
              <w:right w:val="single" w:sz="8" w:space="0" w:color="auto"/>
            </w:tcBorders>
            <w:shd w:val="clear" w:color="000000" w:fill="FFFFFF"/>
            <w:vAlign w:val="center"/>
            <w:hideMark/>
          </w:tcPr>
          <w:p w14:paraId="187301BB"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43,712,659</w:t>
            </w:r>
          </w:p>
        </w:tc>
      </w:tr>
      <w:tr w:rsidR="004B2ED9" w:rsidRPr="004B2ED9" w14:paraId="12023861"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61B09A6A"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4F20AC8C"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309,652,222</w:t>
            </w:r>
          </w:p>
        </w:tc>
        <w:tc>
          <w:tcPr>
            <w:tcW w:w="2220" w:type="dxa"/>
            <w:tcBorders>
              <w:top w:val="nil"/>
              <w:left w:val="nil"/>
              <w:bottom w:val="single" w:sz="8" w:space="0" w:color="auto"/>
              <w:right w:val="single" w:sz="8" w:space="0" w:color="auto"/>
            </w:tcBorders>
            <w:shd w:val="clear" w:color="000000" w:fill="FFFFFF"/>
            <w:noWrap/>
            <w:vAlign w:val="center"/>
            <w:hideMark/>
          </w:tcPr>
          <w:p w14:paraId="3388611C"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186,866,755</w:t>
            </w:r>
          </w:p>
        </w:tc>
      </w:tr>
    </w:tbl>
    <w:p w14:paraId="634CA26C" w14:textId="77777777" w:rsidR="00926C5C" w:rsidRPr="00192892" w:rsidRDefault="00926C5C" w:rsidP="00926C5C">
      <w:pPr>
        <w:rPr>
          <w:rFonts w:ascii="Montserrat" w:hAnsi="Montserrat"/>
          <w:b/>
          <w:sz w:val="22"/>
          <w:szCs w:val="22"/>
        </w:rPr>
      </w:pPr>
    </w:p>
    <w:p w14:paraId="1CBFE2DD" w14:textId="77777777" w:rsidR="00E62671" w:rsidRDefault="00E62671" w:rsidP="00926C5C">
      <w:pPr>
        <w:rPr>
          <w:rFonts w:ascii="Montserrat" w:hAnsi="Montserrat"/>
          <w:b/>
          <w:sz w:val="22"/>
          <w:szCs w:val="22"/>
        </w:rPr>
      </w:pPr>
      <w:bookmarkStart w:id="16" w:name="_Hlk157391051"/>
    </w:p>
    <w:p w14:paraId="0DFFEFD1" w14:textId="086EF32F" w:rsidR="00926C5C" w:rsidRPr="00192892" w:rsidRDefault="00926C5C" w:rsidP="00926C5C">
      <w:pPr>
        <w:rPr>
          <w:rFonts w:ascii="Montserrat" w:hAnsi="Montserrat"/>
          <w:b/>
          <w:sz w:val="22"/>
          <w:szCs w:val="22"/>
        </w:rPr>
      </w:pPr>
      <w:r w:rsidRPr="00192892">
        <w:rPr>
          <w:rFonts w:ascii="Montserrat" w:hAnsi="Montserrat"/>
          <w:b/>
          <w:sz w:val="22"/>
          <w:szCs w:val="22"/>
        </w:rPr>
        <w:t>Nota 10.- Estimaciones y Deterioros</w:t>
      </w:r>
    </w:p>
    <w:p w14:paraId="2E9FCB97" w14:textId="77777777" w:rsidR="00926C5C" w:rsidRPr="00192892" w:rsidRDefault="00926C5C" w:rsidP="00926C5C">
      <w:pPr>
        <w:rPr>
          <w:rFonts w:ascii="Montserrat" w:hAnsi="Montserrat"/>
          <w:b/>
          <w:sz w:val="22"/>
          <w:szCs w:val="22"/>
        </w:rPr>
      </w:pPr>
    </w:p>
    <w:p w14:paraId="43522F34"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 xml:space="preserve">El saldo de este rubro representa el valor de depreciación y amortización acumulada de los bienes muebles e intangibles propiedad de </w:t>
      </w:r>
      <w:r w:rsidRPr="00192892">
        <w:rPr>
          <w:rFonts w:ascii="Montserrat" w:hAnsi="Montserrat"/>
          <w:sz w:val="22"/>
          <w:szCs w:val="22"/>
        </w:rPr>
        <w:t>las dependencias del Poder Ejecutivo</w:t>
      </w:r>
      <w:r w:rsidRPr="00192892">
        <w:rPr>
          <w:rFonts w:ascii="Montserrat" w:hAnsi="Montserrat"/>
          <w:color w:val="000000"/>
          <w:sz w:val="22"/>
          <w:szCs w:val="22"/>
        </w:rPr>
        <w:t>.</w:t>
      </w:r>
    </w:p>
    <w:p w14:paraId="42E9C571"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p>
    <w:p w14:paraId="1D485AF1" w14:textId="77777777" w:rsidR="00926C5C" w:rsidRPr="00192892" w:rsidRDefault="00926C5C" w:rsidP="00926C5C">
      <w:pPr>
        <w:tabs>
          <w:tab w:val="left" w:pos="7260"/>
        </w:tabs>
        <w:jc w:val="both"/>
        <w:rPr>
          <w:rFonts w:ascii="Montserrat" w:eastAsia="Times New Roman" w:hAnsi="Montserrat" w:cs="Arial"/>
          <w:sz w:val="22"/>
          <w:szCs w:val="22"/>
        </w:rPr>
      </w:pPr>
      <w:r w:rsidRPr="00192892">
        <w:rPr>
          <w:rFonts w:ascii="Montserrat" w:eastAsia="Times New Roman" w:hAnsi="Montserrat" w:cs="Arial"/>
          <w:sz w:val="22"/>
          <w:szCs w:val="22"/>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7BD58FB0" w14:textId="77777777" w:rsidR="00926C5C" w:rsidRPr="00192892" w:rsidRDefault="00926C5C" w:rsidP="00926C5C">
      <w:pPr>
        <w:widowControl w:val="0"/>
        <w:jc w:val="both"/>
        <w:rPr>
          <w:rFonts w:ascii="Montserrat" w:hAnsi="Montserrat"/>
          <w:sz w:val="22"/>
          <w:szCs w:val="22"/>
        </w:rPr>
      </w:pPr>
    </w:p>
    <w:p w14:paraId="4AF63F5C" w14:textId="1C2A939B" w:rsidR="00926C5C" w:rsidRPr="00192892" w:rsidRDefault="00926C5C" w:rsidP="00926C5C">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 xml:space="preserve">Los saldos de la cuenta de este rubro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Pr="00192892">
        <w:rPr>
          <w:rFonts w:ascii="Montserrat" w:hAnsi="Montserrat"/>
          <w:color w:val="000000"/>
          <w:sz w:val="22"/>
          <w:szCs w:val="22"/>
        </w:rPr>
        <w:t>, asciende a:</w:t>
      </w:r>
    </w:p>
    <w:p w14:paraId="63E97FF7"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p>
    <w:p w14:paraId="0FDF14E1" w14:textId="77777777" w:rsidR="00926C5C" w:rsidRPr="00192892" w:rsidRDefault="00926C5C" w:rsidP="00926C5C">
      <w:pPr>
        <w:pBdr>
          <w:top w:val="nil"/>
          <w:left w:val="nil"/>
          <w:bottom w:val="nil"/>
          <w:right w:val="nil"/>
          <w:between w:val="nil"/>
        </w:pBdr>
        <w:jc w:val="center"/>
        <w:rPr>
          <w:rFonts w:ascii="Montserrat" w:hAnsi="Montserrat"/>
          <w:b/>
          <w:color w:val="000000"/>
          <w:sz w:val="22"/>
          <w:szCs w:val="22"/>
        </w:rPr>
      </w:pPr>
      <w:r w:rsidRPr="00192892">
        <w:rPr>
          <w:rFonts w:ascii="Montserrat" w:hAnsi="Montserrat"/>
          <w:b/>
          <w:color w:val="000000"/>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128550CB" w14:textId="77777777" w:rsidTr="004B2ED9">
        <w:trPr>
          <w:trHeight w:val="315"/>
        </w:trPr>
        <w:tc>
          <w:tcPr>
            <w:tcW w:w="4480" w:type="dxa"/>
            <w:tcBorders>
              <w:top w:val="single" w:sz="8" w:space="0" w:color="000000"/>
              <w:left w:val="single" w:sz="8" w:space="0" w:color="000000"/>
              <w:bottom w:val="single" w:sz="8" w:space="0" w:color="000000"/>
              <w:right w:val="single" w:sz="8" w:space="0" w:color="000000"/>
            </w:tcBorders>
            <w:shd w:val="clear" w:color="000000" w:fill="808080"/>
            <w:vAlign w:val="center"/>
            <w:hideMark/>
          </w:tcPr>
          <w:p w14:paraId="3F71C1CC"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2240" w:type="dxa"/>
            <w:tcBorders>
              <w:top w:val="single" w:sz="8" w:space="0" w:color="000000"/>
              <w:left w:val="nil"/>
              <w:bottom w:val="single" w:sz="8" w:space="0" w:color="000000"/>
              <w:right w:val="single" w:sz="8" w:space="0" w:color="000000"/>
            </w:tcBorders>
            <w:shd w:val="clear" w:color="000000" w:fill="808080"/>
            <w:vAlign w:val="center"/>
            <w:hideMark/>
          </w:tcPr>
          <w:p w14:paraId="0A2484C2"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2220" w:type="dxa"/>
            <w:tcBorders>
              <w:top w:val="single" w:sz="8" w:space="0" w:color="000000"/>
              <w:left w:val="nil"/>
              <w:bottom w:val="single" w:sz="8" w:space="0" w:color="000000"/>
              <w:right w:val="single" w:sz="8" w:space="0" w:color="000000"/>
            </w:tcBorders>
            <w:shd w:val="clear" w:color="000000" w:fill="808080"/>
            <w:vAlign w:val="center"/>
            <w:hideMark/>
          </w:tcPr>
          <w:p w14:paraId="3605AB31"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365ECF54" w14:textId="77777777" w:rsidTr="004B2ED9">
        <w:trPr>
          <w:trHeight w:val="645"/>
        </w:trPr>
        <w:tc>
          <w:tcPr>
            <w:tcW w:w="4480" w:type="dxa"/>
            <w:tcBorders>
              <w:top w:val="nil"/>
              <w:left w:val="single" w:sz="8" w:space="0" w:color="000000"/>
              <w:bottom w:val="single" w:sz="8" w:space="0" w:color="auto"/>
              <w:right w:val="single" w:sz="8" w:space="0" w:color="000000"/>
            </w:tcBorders>
            <w:shd w:val="clear" w:color="000000" w:fill="FFFFFF"/>
            <w:vAlign w:val="center"/>
            <w:hideMark/>
          </w:tcPr>
          <w:p w14:paraId="1F7934FE"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Depreciación, Deterioro y Amortización Acumulada de Bienes</w:t>
            </w:r>
          </w:p>
        </w:tc>
        <w:tc>
          <w:tcPr>
            <w:tcW w:w="2240" w:type="dxa"/>
            <w:tcBorders>
              <w:top w:val="nil"/>
              <w:left w:val="nil"/>
              <w:bottom w:val="single" w:sz="8" w:space="0" w:color="auto"/>
              <w:right w:val="single" w:sz="8" w:space="0" w:color="000000"/>
            </w:tcBorders>
            <w:shd w:val="clear" w:color="000000" w:fill="FFFFFF"/>
            <w:vAlign w:val="center"/>
            <w:hideMark/>
          </w:tcPr>
          <w:p w14:paraId="07F2C56D" w14:textId="77777777" w:rsidR="004B2ED9" w:rsidRPr="004B2ED9" w:rsidRDefault="004B2ED9" w:rsidP="004B2ED9">
            <w:pPr>
              <w:jc w:val="right"/>
              <w:rPr>
                <w:rFonts w:eastAsia="Times New Roman" w:cs="Times New Roman"/>
                <w:color w:val="000000"/>
                <w:lang w:val="es-MX"/>
              </w:rPr>
            </w:pPr>
            <w:r w:rsidRPr="004B2ED9">
              <w:rPr>
                <w:rFonts w:eastAsia="Times New Roman" w:cs="Times New Roman"/>
                <w:color w:val="000000"/>
                <w:lang w:val="es-MX"/>
              </w:rPr>
              <w:t>-1,846,149,921</w:t>
            </w:r>
          </w:p>
        </w:tc>
        <w:tc>
          <w:tcPr>
            <w:tcW w:w="2220" w:type="dxa"/>
            <w:tcBorders>
              <w:top w:val="nil"/>
              <w:left w:val="nil"/>
              <w:bottom w:val="single" w:sz="8" w:space="0" w:color="auto"/>
              <w:right w:val="single" w:sz="8" w:space="0" w:color="000000"/>
            </w:tcBorders>
            <w:shd w:val="clear" w:color="000000" w:fill="FFFFFF"/>
            <w:vAlign w:val="center"/>
            <w:hideMark/>
          </w:tcPr>
          <w:p w14:paraId="078C8F36" w14:textId="77777777" w:rsidR="004B2ED9" w:rsidRPr="004B2ED9" w:rsidRDefault="004B2ED9" w:rsidP="004B2ED9">
            <w:pPr>
              <w:jc w:val="right"/>
              <w:rPr>
                <w:rFonts w:eastAsia="Times New Roman" w:cs="Times New Roman"/>
                <w:color w:val="000000"/>
                <w:lang w:val="es-MX"/>
              </w:rPr>
            </w:pPr>
            <w:r w:rsidRPr="004B2ED9">
              <w:rPr>
                <w:rFonts w:eastAsia="Times New Roman" w:cs="Times New Roman"/>
                <w:color w:val="000000"/>
                <w:lang w:val="es-MX"/>
              </w:rPr>
              <w:t>-1,612,609,126</w:t>
            </w:r>
          </w:p>
        </w:tc>
      </w:tr>
      <w:tr w:rsidR="004B2ED9" w:rsidRPr="004B2ED9" w14:paraId="25AD8708" w14:textId="77777777" w:rsidTr="004B2ED9">
        <w:trPr>
          <w:trHeight w:val="330"/>
        </w:trPr>
        <w:tc>
          <w:tcPr>
            <w:tcW w:w="4480" w:type="dxa"/>
            <w:tcBorders>
              <w:top w:val="nil"/>
              <w:left w:val="single" w:sz="8" w:space="0" w:color="000000"/>
              <w:bottom w:val="single" w:sz="8" w:space="0" w:color="000000"/>
              <w:right w:val="single" w:sz="8" w:space="0" w:color="000000"/>
            </w:tcBorders>
            <w:shd w:val="clear" w:color="000000" w:fill="FFFFFF"/>
            <w:vAlign w:val="center"/>
            <w:hideMark/>
          </w:tcPr>
          <w:p w14:paraId="6E4492A5"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Suma</w:t>
            </w:r>
          </w:p>
        </w:tc>
        <w:tc>
          <w:tcPr>
            <w:tcW w:w="2240" w:type="dxa"/>
            <w:tcBorders>
              <w:top w:val="nil"/>
              <w:left w:val="nil"/>
              <w:bottom w:val="single" w:sz="8" w:space="0" w:color="000000"/>
              <w:right w:val="single" w:sz="8" w:space="0" w:color="000000"/>
            </w:tcBorders>
            <w:shd w:val="clear" w:color="000000" w:fill="FFFFFF"/>
            <w:vAlign w:val="center"/>
            <w:hideMark/>
          </w:tcPr>
          <w:p w14:paraId="57BAA892" w14:textId="77777777" w:rsidR="004B2ED9" w:rsidRPr="004B2ED9" w:rsidRDefault="004B2ED9" w:rsidP="004B2ED9">
            <w:pPr>
              <w:jc w:val="right"/>
              <w:rPr>
                <w:rFonts w:eastAsia="Times New Roman" w:cs="Times New Roman"/>
                <w:b/>
                <w:bCs/>
                <w:color w:val="000000"/>
                <w:lang w:val="es-MX"/>
              </w:rPr>
            </w:pPr>
            <w:r w:rsidRPr="004B2ED9">
              <w:rPr>
                <w:rFonts w:eastAsia="Times New Roman" w:cs="Times New Roman"/>
                <w:b/>
                <w:bCs/>
                <w:color w:val="000000"/>
                <w:lang w:val="es-MX"/>
              </w:rPr>
              <w:t>-1,846,149,921</w:t>
            </w:r>
          </w:p>
        </w:tc>
        <w:tc>
          <w:tcPr>
            <w:tcW w:w="2220" w:type="dxa"/>
            <w:tcBorders>
              <w:top w:val="nil"/>
              <w:left w:val="nil"/>
              <w:bottom w:val="single" w:sz="8" w:space="0" w:color="000000"/>
              <w:right w:val="single" w:sz="8" w:space="0" w:color="000000"/>
            </w:tcBorders>
            <w:shd w:val="clear" w:color="000000" w:fill="FFFFFF"/>
            <w:vAlign w:val="center"/>
            <w:hideMark/>
          </w:tcPr>
          <w:p w14:paraId="2EE1C0C8" w14:textId="77777777" w:rsidR="004B2ED9" w:rsidRPr="004B2ED9" w:rsidRDefault="004B2ED9" w:rsidP="004B2ED9">
            <w:pPr>
              <w:jc w:val="right"/>
              <w:rPr>
                <w:rFonts w:eastAsia="Times New Roman" w:cs="Times New Roman"/>
                <w:b/>
                <w:bCs/>
                <w:color w:val="000000"/>
                <w:lang w:val="es-MX"/>
              </w:rPr>
            </w:pPr>
            <w:r w:rsidRPr="004B2ED9">
              <w:rPr>
                <w:rFonts w:eastAsia="Times New Roman" w:cs="Times New Roman"/>
                <w:b/>
                <w:bCs/>
                <w:color w:val="000000"/>
                <w:lang w:val="es-MX"/>
              </w:rPr>
              <w:t>-1,612,609,126</w:t>
            </w:r>
          </w:p>
        </w:tc>
      </w:tr>
    </w:tbl>
    <w:p w14:paraId="74938FE2" w14:textId="77777777" w:rsidR="00926C5C" w:rsidRPr="00192892" w:rsidRDefault="00926C5C" w:rsidP="00926C5C">
      <w:pPr>
        <w:rPr>
          <w:rFonts w:ascii="Montserrat" w:hAnsi="Montserrat"/>
          <w:b/>
          <w:sz w:val="22"/>
          <w:szCs w:val="22"/>
        </w:rPr>
      </w:pPr>
    </w:p>
    <w:p w14:paraId="5C03D679" w14:textId="77777777" w:rsidR="00926C5C" w:rsidRPr="00192892" w:rsidRDefault="00926C5C" w:rsidP="00926C5C">
      <w:pPr>
        <w:rPr>
          <w:rFonts w:ascii="Montserrat" w:hAnsi="Montserrat"/>
          <w:b/>
          <w:sz w:val="22"/>
          <w:szCs w:val="22"/>
        </w:rPr>
      </w:pPr>
      <w:r w:rsidRPr="00192892">
        <w:rPr>
          <w:rFonts w:ascii="Montserrat" w:hAnsi="Montserrat"/>
          <w:b/>
          <w:sz w:val="22"/>
          <w:szCs w:val="22"/>
        </w:rPr>
        <w:t xml:space="preserve">Nota 11.- Otros Activos </w:t>
      </w:r>
    </w:p>
    <w:p w14:paraId="1A47C616" w14:textId="77777777" w:rsidR="00926C5C" w:rsidRPr="00192892" w:rsidRDefault="00926C5C" w:rsidP="00926C5C">
      <w:pPr>
        <w:rPr>
          <w:rFonts w:ascii="Montserrat" w:hAnsi="Montserrat"/>
          <w:sz w:val="22"/>
          <w:szCs w:val="22"/>
        </w:rPr>
      </w:pPr>
    </w:p>
    <w:p w14:paraId="4E870392" w14:textId="065A492F" w:rsidR="00926C5C" w:rsidRPr="00192892" w:rsidRDefault="00926C5C" w:rsidP="00926C5C">
      <w:pPr>
        <w:rPr>
          <w:rFonts w:ascii="Montserrat" w:hAnsi="Montserrat"/>
          <w:sz w:val="22"/>
          <w:szCs w:val="22"/>
        </w:rPr>
      </w:pPr>
      <w:r w:rsidRPr="00192892">
        <w:rPr>
          <w:rFonts w:ascii="Montserrat" w:hAnsi="Montserrat"/>
          <w:sz w:val="22"/>
          <w:szCs w:val="22"/>
        </w:rPr>
        <w:t xml:space="preserve">Este rubro no refleja saldo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Pr="00192892">
        <w:rPr>
          <w:rFonts w:ascii="Montserrat" w:hAnsi="Montserrat"/>
          <w:sz w:val="22"/>
          <w:szCs w:val="22"/>
        </w:rPr>
        <w:t>.</w:t>
      </w:r>
    </w:p>
    <w:bookmarkEnd w:id="16"/>
    <w:p w14:paraId="2CA0E01E" w14:textId="77777777" w:rsidR="00926C5C" w:rsidRDefault="00926C5C" w:rsidP="00926C5C">
      <w:pPr>
        <w:keepNext/>
        <w:keepLines/>
        <w:rPr>
          <w:rFonts w:ascii="Montserrat" w:hAnsi="Montserrat"/>
          <w:b/>
          <w:sz w:val="22"/>
          <w:szCs w:val="22"/>
        </w:rPr>
      </w:pPr>
    </w:p>
    <w:p w14:paraId="50A91DB2" w14:textId="77777777" w:rsidR="005F14C8" w:rsidRPr="00192892" w:rsidRDefault="005F14C8" w:rsidP="00926C5C">
      <w:pPr>
        <w:keepNext/>
        <w:keepLines/>
        <w:rPr>
          <w:rFonts w:ascii="Montserrat" w:hAnsi="Montserrat"/>
          <w:b/>
          <w:sz w:val="22"/>
          <w:szCs w:val="22"/>
        </w:rPr>
      </w:pPr>
    </w:p>
    <w:p w14:paraId="32C29DD7" w14:textId="77777777" w:rsidR="00926C5C" w:rsidRPr="00192892" w:rsidRDefault="00926C5C" w:rsidP="00926C5C">
      <w:pPr>
        <w:keepNext/>
        <w:keepLines/>
        <w:rPr>
          <w:rFonts w:ascii="Montserrat" w:hAnsi="Montserrat"/>
          <w:b/>
          <w:sz w:val="22"/>
          <w:szCs w:val="22"/>
        </w:rPr>
      </w:pPr>
      <w:r w:rsidRPr="00192892">
        <w:rPr>
          <w:rFonts w:ascii="Montserrat" w:hAnsi="Montserrat"/>
          <w:b/>
          <w:sz w:val="22"/>
          <w:szCs w:val="22"/>
        </w:rPr>
        <w:t xml:space="preserve">Pasivo </w:t>
      </w:r>
    </w:p>
    <w:p w14:paraId="6F2E0AC2" w14:textId="77777777" w:rsidR="00926C5C" w:rsidRPr="00192892" w:rsidRDefault="00926C5C" w:rsidP="00926C5C">
      <w:pPr>
        <w:jc w:val="both"/>
        <w:rPr>
          <w:rFonts w:ascii="Montserrat" w:hAnsi="Montserrat"/>
          <w:sz w:val="22"/>
          <w:szCs w:val="22"/>
        </w:rPr>
      </w:pPr>
    </w:p>
    <w:p w14:paraId="545FA385" w14:textId="4167A4F1" w:rsidR="00926C5C" w:rsidRPr="00192892" w:rsidRDefault="00926C5C" w:rsidP="00926C5C">
      <w:pPr>
        <w:jc w:val="both"/>
        <w:rPr>
          <w:rFonts w:ascii="Montserrat" w:hAnsi="Montserrat"/>
          <w:sz w:val="22"/>
          <w:szCs w:val="22"/>
        </w:rPr>
      </w:pPr>
      <w:r w:rsidRPr="00192892">
        <w:rPr>
          <w:rFonts w:ascii="Montserrat" w:hAnsi="Montserrat"/>
          <w:sz w:val="22"/>
          <w:szCs w:val="22"/>
        </w:rPr>
        <w:t>Es el conjunto de cuentas que permite el registro de las obligaciones contraídas por el Poder Ejecutivo, para el desarrollo de sus funciones y la prestación de los servicios públicos. Al cierre del periodo enero-</w:t>
      </w:r>
      <w:r w:rsidR="00137A29">
        <w:rPr>
          <w:rFonts w:ascii="Montserrat" w:hAnsi="Montserrat"/>
          <w:sz w:val="22"/>
          <w:szCs w:val="22"/>
        </w:rPr>
        <w:t>dici</w:t>
      </w:r>
      <w:r w:rsidRPr="00192892">
        <w:rPr>
          <w:rFonts w:ascii="Montserrat" w:hAnsi="Montserrat"/>
          <w:sz w:val="22"/>
          <w:szCs w:val="22"/>
        </w:rPr>
        <w:t>embre de 2024,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741106A5" w14:textId="77777777" w:rsidR="00926C5C" w:rsidRPr="00192892" w:rsidRDefault="00926C5C" w:rsidP="00926C5C">
      <w:pPr>
        <w:rPr>
          <w:rFonts w:ascii="Montserrat" w:hAnsi="Montserrat"/>
          <w:b/>
          <w:sz w:val="22"/>
          <w:szCs w:val="22"/>
        </w:rPr>
      </w:pPr>
    </w:p>
    <w:p w14:paraId="4C38E645" w14:textId="77777777" w:rsidR="00926C5C" w:rsidRPr="00192892" w:rsidRDefault="00926C5C" w:rsidP="00C9363D">
      <w:pPr>
        <w:keepNext/>
        <w:rPr>
          <w:rFonts w:ascii="Montserrat" w:hAnsi="Montserrat"/>
          <w:b/>
          <w:sz w:val="22"/>
          <w:szCs w:val="22"/>
        </w:rPr>
      </w:pPr>
      <w:bookmarkStart w:id="17" w:name="_Hlk157391221"/>
      <w:r w:rsidRPr="00192892">
        <w:rPr>
          <w:rFonts w:ascii="Montserrat" w:hAnsi="Montserrat"/>
          <w:b/>
          <w:sz w:val="22"/>
          <w:szCs w:val="22"/>
        </w:rPr>
        <w:t>Nota 12.-Cuentas por Pagar a Corto Plazo.</w:t>
      </w:r>
      <w:bookmarkEnd w:id="17"/>
    </w:p>
    <w:p w14:paraId="3DE6C87F" w14:textId="77777777" w:rsidR="00926C5C" w:rsidRPr="00192892" w:rsidRDefault="00926C5C" w:rsidP="00C9363D">
      <w:pPr>
        <w:keepNext/>
        <w:rPr>
          <w:rFonts w:ascii="Montserrat" w:hAnsi="Montserrat"/>
          <w:b/>
          <w:sz w:val="22"/>
          <w:szCs w:val="22"/>
        </w:rPr>
      </w:pPr>
    </w:p>
    <w:p w14:paraId="59A68B66" w14:textId="77777777"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653EAB08" w14:textId="77777777" w:rsidR="00926C5C" w:rsidRPr="00192892" w:rsidRDefault="00926C5C" w:rsidP="00926C5C">
      <w:pPr>
        <w:pBdr>
          <w:top w:val="nil"/>
          <w:left w:val="nil"/>
          <w:bottom w:val="nil"/>
          <w:right w:val="nil"/>
          <w:between w:val="nil"/>
        </w:pBdr>
        <w:jc w:val="both"/>
        <w:rPr>
          <w:rFonts w:ascii="Montserrat" w:hAnsi="Montserrat"/>
          <w:sz w:val="22"/>
          <w:szCs w:val="22"/>
        </w:rPr>
      </w:pPr>
    </w:p>
    <w:p w14:paraId="30345016" w14:textId="7DBFCD92"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 xml:space="preserve">Los saldos de las cuentas que integran este rubro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Pr="00192892">
        <w:rPr>
          <w:rFonts w:ascii="Montserrat" w:hAnsi="Montserrat"/>
          <w:sz w:val="22"/>
          <w:szCs w:val="22"/>
        </w:rPr>
        <w:t>, se desglosan de la siguiente manera:</w:t>
      </w:r>
    </w:p>
    <w:p w14:paraId="61F13155" w14:textId="77777777" w:rsidR="00926C5C" w:rsidRPr="00192892" w:rsidRDefault="00926C5C" w:rsidP="00926C5C">
      <w:pPr>
        <w:rPr>
          <w:rFonts w:ascii="Montserrat" w:hAnsi="Montserrat"/>
          <w:sz w:val="22"/>
          <w:szCs w:val="22"/>
        </w:rPr>
      </w:pPr>
    </w:p>
    <w:p w14:paraId="7CFE85CF" w14:textId="77777777" w:rsidR="00926C5C" w:rsidRPr="00192892" w:rsidRDefault="00926C5C" w:rsidP="00926C5C">
      <w:pPr>
        <w:pBdr>
          <w:top w:val="nil"/>
          <w:left w:val="nil"/>
          <w:bottom w:val="nil"/>
          <w:right w:val="nil"/>
          <w:between w:val="nil"/>
        </w:pBdr>
        <w:jc w:val="center"/>
        <w:rPr>
          <w:rFonts w:ascii="Montserrat" w:hAnsi="Montserrat"/>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530"/>
        <w:gridCol w:w="2215"/>
        <w:gridCol w:w="2195"/>
      </w:tblGrid>
      <w:tr w:rsidR="004B2ED9" w:rsidRPr="004B2ED9" w14:paraId="014B9D14" w14:textId="77777777" w:rsidTr="004B2ED9">
        <w:trPr>
          <w:trHeight w:val="315"/>
        </w:trPr>
        <w:tc>
          <w:tcPr>
            <w:tcW w:w="453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56D460AD"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2215" w:type="dxa"/>
            <w:tcBorders>
              <w:top w:val="single" w:sz="8" w:space="0" w:color="auto"/>
              <w:left w:val="nil"/>
              <w:bottom w:val="single" w:sz="8" w:space="0" w:color="auto"/>
              <w:right w:val="single" w:sz="8" w:space="0" w:color="auto"/>
            </w:tcBorders>
            <w:shd w:val="clear" w:color="000000" w:fill="828282"/>
            <w:vAlign w:val="center"/>
            <w:hideMark/>
          </w:tcPr>
          <w:p w14:paraId="2C8DA291"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2195" w:type="dxa"/>
            <w:tcBorders>
              <w:top w:val="single" w:sz="8" w:space="0" w:color="auto"/>
              <w:left w:val="nil"/>
              <w:bottom w:val="single" w:sz="8" w:space="0" w:color="auto"/>
              <w:right w:val="single" w:sz="8" w:space="0" w:color="auto"/>
            </w:tcBorders>
            <w:shd w:val="clear" w:color="000000" w:fill="828282"/>
            <w:vAlign w:val="center"/>
            <w:hideMark/>
          </w:tcPr>
          <w:p w14:paraId="50A266B9"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06C9D328" w14:textId="77777777" w:rsidTr="004B2ED9">
        <w:trPr>
          <w:trHeight w:val="300"/>
        </w:trPr>
        <w:tc>
          <w:tcPr>
            <w:tcW w:w="4530" w:type="dxa"/>
            <w:tcBorders>
              <w:top w:val="nil"/>
              <w:left w:val="single" w:sz="8" w:space="0" w:color="auto"/>
              <w:bottom w:val="nil"/>
              <w:right w:val="single" w:sz="8" w:space="0" w:color="auto"/>
            </w:tcBorders>
            <w:shd w:val="clear" w:color="000000" w:fill="FFFFFF"/>
            <w:noWrap/>
            <w:vAlign w:val="center"/>
            <w:hideMark/>
          </w:tcPr>
          <w:p w14:paraId="4CD5C1E3"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Servicios Personales Por Pagar a Corto Plazo</w:t>
            </w:r>
          </w:p>
        </w:tc>
        <w:tc>
          <w:tcPr>
            <w:tcW w:w="2215" w:type="dxa"/>
            <w:tcBorders>
              <w:top w:val="nil"/>
              <w:left w:val="nil"/>
              <w:bottom w:val="nil"/>
              <w:right w:val="single" w:sz="8" w:space="0" w:color="auto"/>
            </w:tcBorders>
            <w:shd w:val="clear" w:color="000000" w:fill="FFFFFF"/>
            <w:noWrap/>
            <w:vAlign w:val="center"/>
            <w:hideMark/>
          </w:tcPr>
          <w:p w14:paraId="3F7BEF18"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33,770,305</w:t>
            </w:r>
          </w:p>
        </w:tc>
        <w:tc>
          <w:tcPr>
            <w:tcW w:w="2195" w:type="dxa"/>
            <w:tcBorders>
              <w:top w:val="nil"/>
              <w:left w:val="nil"/>
              <w:bottom w:val="nil"/>
              <w:right w:val="single" w:sz="8" w:space="0" w:color="auto"/>
            </w:tcBorders>
            <w:shd w:val="clear" w:color="000000" w:fill="FFFFFF"/>
            <w:noWrap/>
            <w:vAlign w:val="center"/>
            <w:hideMark/>
          </w:tcPr>
          <w:p w14:paraId="1090318E"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40,211,925</w:t>
            </w:r>
          </w:p>
        </w:tc>
      </w:tr>
      <w:tr w:rsidR="004B2ED9" w:rsidRPr="004B2ED9" w14:paraId="398B965F" w14:textId="77777777" w:rsidTr="004B2ED9">
        <w:trPr>
          <w:trHeight w:val="300"/>
        </w:trPr>
        <w:tc>
          <w:tcPr>
            <w:tcW w:w="4530" w:type="dxa"/>
            <w:tcBorders>
              <w:top w:val="nil"/>
              <w:left w:val="single" w:sz="8" w:space="0" w:color="auto"/>
              <w:bottom w:val="nil"/>
              <w:right w:val="single" w:sz="8" w:space="0" w:color="auto"/>
            </w:tcBorders>
            <w:shd w:val="clear" w:color="000000" w:fill="FFFFFF"/>
            <w:noWrap/>
            <w:vAlign w:val="center"/>
            <w:hideMark/>
          </w:tcPr>
          <w:p w14:paraId="07B64C59"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Proveedores Por Pagar a Corto Plazo</w:t>
            </w:r>
          </w:p>
        </w:tc>
        <w:tc>
          <w:tcPr>
            <w:tcW w:w="2215" w:type="dxa"/>
            <w:tcBorders>
              <w:top w:val="nil"/>
              <w:left w:val="nil"/>
              <w:bottom w:val="nil"/>
              <w:right w:val="single" w:sz="8" w:space="0" w:color="auto"/>
            </w:tcBorders>
            <w:shd w:val="clear" w:color="000000" w:fill="FFFFFF"/>
            <w:noWrap/>
            <w:vAlign w:val="center"/>
            <w:hideMark/>
          </w:tcPr>
          <w:p w14:paraId="779BA940"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279,027,424</w:t>
            </w:r>
          </w:p>
        </w:tc>
        <w:tc>
          <w:tcPr>
            <w:tcW w:w="2195" w:type="dxa"/>
            <w:tcBorders>
              <w:top w:val="nil"/>
              <w:left w:val="nil"/>
              <w:bottom w:val="nil"/>
              <w:right w:val="single" w:sz="8" w:space="0" w:color="auto"/>
            </w:tcBorders>
            <w:shd w:val="clear" w:color="000000" w:fill="FFFFFF"/>
            <w:noWrap/>
            <w:vAlign w:val="center"/>
            <w:hideMark/>
          </w:tcPr>
          <w:p w14:paraId="29B901EC"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307,463,473</w:t>
            </w:r>
          </w:p>
        </w:tc>
      </w:tr>
      <w:tr w:rsidR="004B2ED9" w:rsidRPr="004B2ED9" w14:paraId="0703F092" w14:textId="77777777" w:rsidTr="004B2ED9">
        <w:trPr>
          <w:trHeight w:val="570"/>
        </w:trPr>
        <w:tc>
          <w:tcPr>
            <w:tcW w:w="4530" w:type="dxa"/>
            <w:tcBorders>
              <w:top w:val="nil"/>
              <w:left w:val="single" w:sz="8" w:space="0" w:color="auto"/>
              <w:bottom w:val="nil"/>
              <w:right w:val="single" w:sz="8" w:space="0" w:color="auto"/>
            </w:tcBorders>
            <w:shd w:val="clear" w:color="000000" w:fill="FFFFFF"/>
            <w:vAlign w:val="center"/>
            <w:hideMark/>
          </w:tcPr>
          <w:p w14:paraId="3B1499F9"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Contratistas Por Obras Públicas Por Pagar a Corto Plazo</w:t>
            </w:r>
          </w:p>
        </w:tc>
        <w:tc>
          <w:tcPr>
            <w:tcW w:w="2215" w:type="dxa"/>
            <w:tcBorders>
              <w:top w:val="nil"/>
              <w:left w:val="nil"/>
              <w:bottom w:val="nil"/>
              <w:right w:val="single" w:sz="8" w:space="0" w:color="auto"/>
            </w:tcBorders>
            <w:shd w:val="clear" w:color="000000" w:fill="FFFFFF"/>
            <w:vAlign w:val="center"/>
            <w:hideMark/>
          </w:tcPr>
          <w:p w14:paraId="2063A8AC"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169,251,350</w:t>
            </w:r>
          </w:p>
        </w:tc>
        <w:tc>
          <w:tcPr>
            <w:tcW w:w="2195" w:type="dxa"/>
            <w:tcBorders>
              <w:top w:val="nil"/>
              <w:left w:val="nil"/>
              <w:bottom w:val="nil"/>
              <w:right w:val="single" w:sz="8" w:space="0" w:color="auto"/>
            </w:tcBorders>
            <w:shd w:val="clear" w:color="000000" w:fill="FFFFFF"/>
            <w:vAlign w:val="center"/>
            <w:hideMark/>
          </w:tcPr>
          <w:p w14:paraId="2A4A7F57"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165,478,164</w:t>
            </w:r>
          </w:p>
        </w:tc>
      </w:tr>
      <w:tr w:rsidR="004B2ED9" w:rsidRPr="004B2ED9" w14:paraId="20FFC806" w14:textId="77777777" w:rsidTr="004B2ED9">
        <w:trPr>
          <w:trHeight w:val="570"/>
        </w:trPr>
        <w:tc>
          <w:tcPr>
            <w:tcW w:w="4530" w:type="dxa"/>
            <w:tcBorders>
              <w:top w:val="nil"/>
              <w:left w:val="single" w:sz="8" w:space="0" w:color="auto"/>
              <w:bottom w:val="nil"/>
              <w:right w:val="single" w:sz="8" w:space="0" w:color="auto"/>
            </w:tcBorders>
            <w:shd w:val="clear" w:color="000000" w:fill="FFFFFF"/>
            <w:vAlign w:val="center"/>
            <w:hideMark/>
          </w:tcPr>
          <w:p w14:paraId="3D30BAD9"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Transferencias Otorgadas Por Pagar a Corto Plazo</w:t>
            </w:r>
          </w:p>
        </w:tc>
        <w:tc>
          <w:tcPr>
            <w:tcW w:w="2215" w:type="dxa"/>
            <w:tcBorders>
              <w:top w:val="nil"/>
              <w:left w:val="nil"/>
              <w:bottom w:val="nil"/>
              <w:right w:val="single" w:sz="8" w:space="0" w:color="auto"/>
            </w:tcBorders>
            <w:shd w:val="clear" w:color="000000" w:fill="FFFFFF"/>
            <w:noWrap/>
            <w:vAlign w:val="center"/>
            <w:hideMark/>
          </w:tcPr>
          <w:p w14:paraId="117CFE50"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7,146,777</w:t>
            </w:r>
          </w:p>
        </w:tc>
        <w:tc>
          <w:tcPr>
            <w:tcW w:w="2195" w:type="dxa"/>
            <w:tcBorders>
              <w:top w:val="nil"/>
              <w:left w:val="nil"/>
              <w:bottom w:val="nil"/>
              <w:right w:val="single" w:sz="8" w:space="0" w:color="auto"/>
            </w:tcBorders>
            <w:shd w:val="clear" w:color="000000" w:fill="FFFFFF"/>
            <w:noWrap/>
            <w:vAlign w:val="center"/>
            <w:hideMark/>
          </w:tcPr>
          <w:p w14:paraId="0334F09F"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3,555,367</w:t>
            </w:r>
          </w:p>
        </w:tc>
      </w:tr>
      <w:tr w:rsidR="004B2ED9" w:rsidRPr="004B2ED9" w14:paraId="3D1FE1AA" w14:textId="77777777" w:rsidTr="004B2ED9">
        <w:trPr>
          <w:trHeight w:val="720"/>
        </w:trPr>
        <w:tc>
          <w:tcPr>
            <w:tcW w:w="4530" w:type="dxa"/>
            <w:tcBorders>
              <w:top w:val="nil"/>
              <w:left w:val="single" w:sz="8" w:space="0" w:color="auto"/>
              <w:bottom w:val="nil"/>
              <w:right w:val="single" w:sz="8" w:space="0" w:color="auto"/>
            </w:tcBorders>
            <w:shd w:val="clear" w:color="000000" w:fill="FFFFFF"/>
            <w:vAlign w:val="center"/>
            <w:hideMark/>
          </w:tcPr>
          <w:p w14:paraId="0FA953DE" w14:textId="423E45A3"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Intereses, Comisiones y Otros Gastos de la Deuda Pública por Pagar a Corto Plazo</w:t>
            </w:r>
          </w:p>
        </w:tc>
        <w:tc>
          <w:tcPr>
            <w:tcW w:w="2215" w:type="dxa"/>
            <w:tcBorders>
              <w:top w:val="nil"/>
              <w:left w:val="nil"/>
              <w:bottom w:val="nil"/>
              <w:right w:val="single" w:sz="8" w:space="0" w:color="auto"/>
            </w:tcBorders>
            <w:shd w:val="clear" w:color="000000" w:fill="FFFFFF"/>
            <w:noWrap/>
            <w:vAlign w:val="center"/>
            <w:hideMark/>
          </w:tcPr>
          <w:p w14:paraId="6E033347"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33,965,111</w:t>
            </w:r>
          </w:p>
        </w:tc>
        <w:tc>
          <w:tcPr>
            <w:tcW w:w="2195" w:type="dxa"/>
            <w:tcBorders>
              <w:top w:val="nil"/>
              <w:left w:val="nil"/>
              <w:bottom w:val="nil"/>
              <w:right w:val="single" w:sz="8" w:space="0" w:color="auto"/>
            </w:tcBorders>
            <w:shd w:val="clear" w:color="000000" w:fill="FFFFFF"/>
            <w:noWrap/>
            <w:vAlign w:val="center"/>
            <w:hideMark/>
          </w:tcPr>
          <w:p w14:paraId="0BD31D83"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30,847,756</w:t>
            </w:r>
          </w:p>
        </w:tc>
      </w:tr>
      <w:tr w:rsidR="004B2ED9" w:rsidRPr="004B2ED9" w14:paraId="7A79D349" w14:textId="77777777" w:rsidTr="004B2ED9">
        <w:trPr>
          <w:trHeight w:val="570"/>
        </w:trPr>
        <w:tc>
          <w:tcPr>
            <w:tcW w:w="4530" w:type="dxa"/>
            <w:tcBorders>
              <w:top w:val="nil"/>
              <w:left w:val="single" w:sz="8" w:space="0" w:color="auto"/>
              <w:bottom w:val="nil"/>
              <w:right w:val="single" w:sz="8" w:space="0" w:color="auto"/>
            </w:tcBorders>
            <w:shd w:val="clear" w:color="000000" w:fill="FFFFFF"/>
            <w:vAlign w:val="center"/>
            <w:hideMark/>
          </w:tcPr>
          <w:p w14:paraId="0B20FDA5"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Retenciones y Contribuciones Por Pagar a Corto Plazo</w:t>
            </w:r>
          </w:p>
        </w:tc>
        <w:tc>
          <w:tcPr>
            <w:tcW w:w="2215" w:type="dxa"/>
            <w:tcBorders>
              <w:top w:val="nil"/>
              <w:left w:val="nil"/>
              <w:bottom w:val="nil"/>
              <w:right w:val="single" w:sz="8" w:space="0" w:color="auto"/>
            </w:tcBorders>
            <w:shd w:val="clear" w:color="000000" w:fill="FFFFFF"/>
            <w:noWrap/>
            <w:vAlign w:val="center"/>
            <w:hideMark/>
          </w:tcPr>
          <w:p w14:paraId="0BAF4FFA"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769,182,324</w:t>
            </w:r>
          </w:p>
        </w:tc>
        <w:tc>
          <w:tcPr>
            <w:tcW w:w="2195" w:type="dxa"/>
            <w:tcBorders>
              <w:top w:val="nil"/>
              <w:left w:val="nil"/>
              <w:bottom w:val="nil"/>
              <w:right w:val="single" w:sz="8" w:space="0" w:color="auto"/>
            </w:tcBorders>
            <w:shd w:val="clear" w:color="000000" w:fill="FFFFFF"/>
            <w:noWrap/>
            <w:vAlign w:val="center"/>
            <w:hideMark/>
          </w:tcPr>
          <w:p w14:paraId="5F9BE3AA"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668,834,783</w:t>
            </w:r>
          </w:p>
        </w:tc>
      </w:tr>
      <w:tr w:rsidR="004B2ED9" w:rsidRPr="004B2ED9" w14:paraId="7354AF31" w14:textId="77777777" w:rsidTr="004B2ED9">
        <w:trPr>
          <w:trHeight w:val="315"/>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2EAB9241"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Otras Cuentas Por Pagar a Corto Plazo</w:t>
            </w:r>
          </w:p>
        </w:tc>
        <w:tc>
          <w:tcPr>
            <w:tcW w:w="2215" w:type="dxa"/>
            <w:tcBorders>
              <w:top w:val="nil"/>
              <w:left w:val="nil"/>
              <w:bottom w:val="single" w:sz="8" w:space="0" w:color="auto"/>
              <w:right w:val="single" w:sz="8" w:space="0" w:color="auto"/>
            </w:tcBorders>
            <w:shd w:val="clear" w:color="000000" w:fill="FFFFFF"/>
            <w:noWrap/>
            <w:vAlign w:val="center"/>
            <w:hideMark/>
          </w:tcPr>
          <w:p w14:paraId="07168F79"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2,861,236,767</w:t>
            </w:r>
          </w:p>
        </w:tc>
        <w:tc>
          <w:tcPr>
            <w:tcW w:w="2195" w:type="dxa"/>
            <w:tcBorders>
              <w:top w:val="nil"/>
              <w:left w:val="nil"/>
              <w:bottom w:val="single" w:sz="8" w:space="0" w:color="auto"/>
              <w:right w:val="single" w:sz="8" w:space="0" w:color="auto"/>
            </w:tcBorders>
            <w:shd w:val="clear" w:color="000000" w:fill="FFFFFF"/>
            <w:noWrap/>
            <w:vAlign w:val="center"/>
            <w:hideMark/>
          </w:tcPr>
          <w:p w14:paraId="078ACFDB"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2,830,229,377</w:t>
            </w:r>
          </w:p>
        </w:tc>
      </w:tr>
      <w:tr w:rsidR="004B2ED9" w:rsidRPr="004B2ED9" w14:paraId="2E06E781" w14:textId="77777777" w:rsidTr="004B2ED9">
        <w:trPr>
          <w:trHeight w:val="315"/>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12D1D234"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2215" w:type="dxa"/>
            <w:tcBorders>
              <w:top w:val="nil"/>
              <w:left w:val="nil"/>
              <w:bottom w:val="single" w:sz="8" w:space="0" w:color="auto"/>
              <w:right w:val="single" w:sz="8" w:space="0" w:color="auto"/>
            </w:tcBorders>
            <w:shd w:val="clear" w:color="000000" w:fill="FFFFFF"/>
            <w:noWrap/>
            <w:vAlign w:val="center"/>
            <w:hideMark/>
          </w:tcPr>
          <w:p w14:paraId="1679E1D8"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4,153,580,057</w:t>
            </w:r>
          </w:p>
        </w:tc>
        <w:tc>
          <w:tcPr>
            <w:tcW w:w="2195" w:type="dxa"/>
            <w:tcBorders>
              <w:top w:val="nil"/>
              <w:left w:val="nil"/>
              <w:bottom w:val="single" w:sz="8" w:space="0" w:color="auto"/>
              <w:right w:val="single" w:sz="8" w:space="0" w:color="auto"/>
            </w:tcBorders>
            <w:shd w:val="clear" w:color="000000" w:fill="FFFFFF"/>
            <w:noWrap/>
            <w:vAlign w:val="center"/>
            <w:hideMark/>
          </w:tcPr>
          <w:p w14:paraId="5CD9E3D9"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4,046,620,844</w:t>
            </w:r>
          </w:p>
        </w:tc>
      </w:tr>
    </w:tbl>
    <w:p w14:paraId="4059CD34" w14:textId="77777777" w:rsidR="00926C5C" w:rsidRPr="00192892" w:rsidRDefault="00926C5C" w:rsidP="00926C5C">
      <w:pPr>
        <w:jc w:val="both"/>
        <w:rPr>
          <w:rFonts w:ascii="Montserrat" w:hAnsi="Montserrat"/>
          <w:b/>
          <w:sz w:val="22"/>
          <w:szCs w:val="22"/>
        </w:rPr>
      </w:pPr>
    </w:p>
    <w:p w14:paraId="2814FF19" w14:textId="77777777" w:rsidR="005F14C8" w:rsidRDefault="005F14C8">
      <w:pPr>
        <w:rPr>
          <w:rFonts w:ascii="Montserrat" w:hAnsi="Montserrat"/>
          <w:b/>
          <w:sz w:val="22"/>
          <w:szCs w:val="22"/>
        </w:rPr>
      </w:pPr>
      <w:r>
        <w:rPr>
          <w:rFonts w:ascii="Montserrat" w:hAnsi="Montserrat"/>
          <w:b/>
          <w:sz w:val="22"/>
          <w:szCs w:val="22"/>
        </w:rPr>
        <w:br w:type="page"/>
      </w:r>
    </w:p>
    <w:p w14:paraId="1E44EF68" w14:textId="77777777" w:rsidR="005F14C8" w:rsidRDefault="005F14C8" w:rsidP="00926C5C">
      <w:pPr>
        <w:jc w:val="both"/>
        <w:rPr>
          <w:rFonts w:ascii="Montserrat" w:hAnsi="Montserrat"/>
          <w:b/>
          <w:sz w:val="22"/>
          <w:szCs w:val="22"/>
        </w:rPr>
      </w:pPr>
    </w:p>
    <w:p w14:paraId="5E00AA6D" w14:textId="488B2CDD" w:rsidR="00926C5C" w:rsidRPr="00192892" w:rsidRDefault="00926C5C" w:rsidP="00926C5C">
      <w:pPr>
        <w:jc w:val="both"/>
        <w:rPr>
          <w:rFonts w:ascii="Montserrat" w:hAnsi="Montserrat"/>
          <w:sz w:val="22"/>
          <w:szCs w:val="22"/>
        </w:rPr>
      </w:pPr>
      <w:r w:rsidRPr="00192892">
        <w:rPr>
          <w:rFonts w:ascii="Montserrat" w:hAnsi="Montserrat"/>
          <w:b/>
          <w:sz w:val="22"/>
          <w:szCs w:val="22"/>
        </w:rPr>
        <w:t>Nota 13.- Porción a Corto Plazo de la Deuda Pública a Largo Plazo.</w:t>
      </w:r>
    </w:p>
    <w:p w14:paraId="5A96F93A" w14:textId="77777777" w:rsidR="00926C5C" w:rsidRPr="00192892" w:rsidRDefault="00926C5C" w:rsidP="00926C5C">
      <w:pPr>
        <w:jc w:val="both"/>
        <w:rPr>
          <w:rFonts w:ascii="Montserrat" w:hAnsi="Montserrat"/>
          <w:sz w:val="22"/>
          <w:szCs w:val="22"/>
        </w:rPr>
      </w:pPr>
    </w:p>
    <w:p w14:paraId="05C2D272" w14:textId="638392EA" w:rsidR="00926C5C" w:rsidRPr="00192892" w:rsidRDefault="000C4895" w:rsidP="00926C5C">
      <w:pPr>
        <w:jc w:val="both"/>
        <w:rPr>
          <w:rFonts w:ascii="Montserrat" w:hAnsi="Montserrat"/>
          <w:sz w:val="22"/>
          <w:szCs w:val="22"/>
        </w:rPr>
      </w:pPr>
      <w:r w:rsidRPr="00192892">
        <w:rPr>
          <w:rFonts w:ascii="Montserrat" w:hAnsi="Montserrat"/>
          <w:sz w:val="22"/>
          <w:szCs w:val="22"/>
        </w:rPr>
        <w:t xml:space="preserve">Al </w:t>
      </w:r>
      <w:r>
        <w:rPr>
          <w:rFonts w:ascii="Montserrat" w:hAnsi="Montserrat"/>
          <w:sz w:val="22"/>
          <w:szCs w:val="22"/>
        </w:rPr>
        <w:t>31 de dic</w:t>
      </w:r>
      <w:r w:rsidRPr="00192892">
        <w:rPr>
          <w:rFonts w:ascii="Montserrat" w:hAnsi="Montserrat"/>
          <w:sz w:val="22"/>
          <w:szCs w:val="22"/>
        </w:rPr>
        <w:t>iembre de 2024 y 2023</w:t>
      </w:r>
      <w:r w:rsidR="00926C5C" w:rsidRPr="00192892">
        <w:rPr>
          <w:rFonts w:ascii="Montserrat" w:hAnsi="Montserrat"/>
          <w:sz w:val="22"/>
          <w:szCs w:val="22"/>
        </w:rPr>
        <w:t>, la provisión de porción a corto plazo de la Deuda Pública corresponde al Poder Ejecutivo, como se muestra a continuación:</w:t>
      </w:r>
    </w:p>
    <w:p w14:paraId="1E1007F4" w14:textId="77777777" w:rsidR="00926C5C" w:rsidRPr="00192892" w:rsidRDefault="00926C5C" w:rsidP="00926C5C">
      <w:pPr>
        <w:pBdr>
          <w:top w:val="nil"/>
          <w:left w:val="nil"/>
          <w:bottom w:val="nil"/>
          <w:right w:val="nil"/>
          <w:between w:val="nil"/>
        </w:pBdr>
        <w:jc w:val="center"/>
        <w:rPr>
          <w:rFonts w:ascii="Montserrat" w:hAnsi="Montserrat"/>
          <w:b/>
          <w:sz w:val="22"/>
          <w:szCs w:val="22"/>
        </w:rPr>
      </w:pPr>
    </w:p>
    <w:p w14:paraId="680DD961" w14:textId="77777777" w:rsidR="00926C5C" w:rsidRPr="00192892" w:rsidRDefault="00926C5C" w:rsidP="00926C5C">
      <w:pPr>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947"/>
        <w:gridCol w:w="2004"/>
        <w:gridCol w:w="1989"/>
      </w:tblGrid>
      <w:tr w:rsidR="004B2ED9" w:rsidRPr="004B2ED9" w14:paraId="608E4979" w14:textId="77777777" w:rsidTr="004B2ED9">
        <w:trPr>
          <w:trHeight w:val="315"/>
        </w:trPr>
        <w:tc>
          <w:tcPr>
            <w:tcW w:w="4947"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E992631" w14:textId="77777777" w:rsidR="004B2ED9" w:rsidRPr="00EE0424" w:rsidRDefault="004B2ED9" w:rsidP="004B2ED9">
            <w:pPr>
              <w:jc w:val="center"/>
              <w:rPr>
                <w:rFonts w:eastAsia="Times New Roman" w:cs="Times New Roman"/>
                <w:b/>
                <w:bCs/>
                <w:color w:val="FFFFFF" w:themeColor="background1"/>
                <w:sz w:val="22"/>
                <w:szCs w:val="22"/>
                <w:lang w:val="es-MX"/>
              </w:rPr>
            </w:pPr>
            <w:bookmarkStart w:id="18" w:name="_Hlk157391818"/>
            <w:r w:rsidRPr="00EE0424">
              <w:rPr>
                <w:rFonts w:eastAsia="Times New Roman" w:cs="Times New Roman"/>
                <w:b/>
                <w:bCs/>
                <w:color w:val="FFFFFF" w:themeColor="background1"/>
                <w:sz w:val="22"/>
                <w:szCs w:val="22"/>
                <w:lang w:val="es-MX"/>
              </w:rPr>
              <w:t>Concepto</w:t>
            </w:r>
          </w:p>
        </w:tc>
        <w:tc>
          <w:tcPr>
            <w:tcW w:w="2004" w:type="dxa"/>
            <w:tcBorders>
              <w:top w:val="single" w:sz="8" w:space="0" w:color="auto"/>
              <w:left w:val="nil"/>
              <w:bottom w:val="single" w:sz="8" w:space="0" w:color="auto"/>
              <w:right w:val="single" w:sz="8" w:space="0" w:color="auto"/>
            </w:tcBorders>
            <w:shd w:val="clear" w:color="000000" w:fill="828282"/>
            <w:vAlign w:val="center"/>
            <w:hideMark/>
          </w:tcPr>
          <w:p w14:paraId="645B0B67"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1989" w:type="dxa"/>
            <w:tcBorders>
              <w:top w:val="single" w:sz="8" w:space="0" w:color="auto"/>
              <w:left w:val="nil"/>
              <w:bottom w:val="single" w:sz="8" w:space="0" w:color="auto"/>
              <w:right w:val="single" w:sz="8" w:space="0" w:color="auto"/>
            </w:tcBorders>
            <w:shd w:val="clear" w:color="000000" w:fill="828282"/>
            <w:vAlign w:val="center"/>
            <w:hideMark/>
          </w:tcPr>
          <w:p w14:paraId="13D153F3"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64591782" w14:textId="77777777" w:rsidTr="004B2ED9">
        <w:trPr>
          <w:trHeight w:val="585"/>
        </w:trPr>
        <w:tc>
          <w:tcPr>
            <w:tcW w:w="4947" w:type="dxa"/>
            <w:tcBorders>
              <w:top w:val="nil"/>
              <w:left w:val="single" w:sz="8" w:space="0" w:color="auto"/>
              <w:bottom w:val="single" w:sz="8" w:space="0" w:color="auto"/>
              <w:right w:val="single" w:sz="8" w:space="0" w:color="auto"/>
            </w:tcBorders>
            <w:shd w:val="clear" w:color="000000" w:fill="FFFFFF"/>
            <w:noWrap/>
            <w:vAlign w:val="center"/>
            <w:hideMark/>
          </w:tcPr>
          <w:p w14:paraId="4DA589A3"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Porción a Corto Plazo de la Deuda Pública Interna</w:t>
            </w:r>
          </w:p>
        </w:tc>
        <w:tc>
          <w:tcPr>
            <w:tcW w:w="2004" w:type="dxa"/>
            <w:tcBorders>
              <w:top w:val="nil"/>
              <w:left w:val="nil"/>
              <w:bottom w:val="single" w:sz="8" w:space="0" w:color="auto"/>
              <w:right w:val="single" w:sz="8" w:space="0" w:color="auto"/>
            </w:tcBorders>
            <w:shd w:val="clear" w:color="000000" w:fill="FFFFFF"/>
            <w:noWrap/>
            <w:vAlign w:val="center"/>
            <w:hideMark/>
          </w:tcPr>
          <w:p w14:paraId="629E1485"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14,467,787</w:t>
            </w:r>
          </w:p>
        </w:tc>
        <w:tc>
          <w:tcPr>
            <w:tcW w:w="1989" w:type="dxa"/>
            <w:tcBorders>
              <w:top w:val="nil"/>
              <w:left w:val="nil"/>
              <w:bottom w:val="single" w:sz="8" w:space="0" w:color="auto"/>
              <w:right w:val="single" w:sz="8" w:space="0" w:color="auto"/>
            </w:tcBorders>
            <w:shd w:val="clear" w:color="000000" w:fill="FFFFFF"/>
            <w:noWrap/>
            <w:vAlign w:val="center"/>
            <w:hideMark/>
          </w:tcPr>
          <w:p w14:paraId="65861824"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16,097,407</w:t>
            </w:r>
          </w:p>
        </w:tc>
      </w:tr>
      <w:tr w:rsidR="004B2ED9" w:rsidRPr="004B2ED9" w14:paraId="767C6723" w14:textId="77777777" w:rsidTr="004B2ED9">
        <w:trPr>
          <w:trHeight w:val="315"/>
        </w:trPr>
        <w:tc>
          <w:tcPr>
            <w:tcW w:w="4947" w:type="dxa"/>
            <w:tcBorders>
              <w:top w:val="nil"/>
              <w:left w:val="single" w:sz="8" w:space="0" w:color="auto"/>
              <w:bottom w:val="single" w:sz="8" w:space="0" w:color="auto"/>
              <w:right w:val="single" w:sz="8" w:space="0" w:color="auto"/>
            </w:tcBorders>
            <w:shd w:val="clear" w:color="000000" w:fill="FFFFFF"/>
            <w:noWrap/>
            <w:vAlign w:val="center"/>
            <w:hideMark/>
          </w:tcPr>
          <w:p w14:paraId="48E7CEC9"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2004" w:type="dxa"/>
            <w:tcBorders>
              <w:top w:val="nil"/>
              <w:left w:val="nil"/>
              <w:bottom w:val="single" w:sz="8" w:space="0" w:color="auto"/>
              <w:right w:val="single" w:sz="8" w:space="0" w:color="auto"/>
            </w:tcBorders>
            <w:shd w:val="clear" w:color="000000" w:fill="FFFFFF"/>
            <w:noWrap/>
            <w:vAlign w:val="center"/>
            <w:hideMark/>
          </w:tcPr>
          <w:p w14:paraId="7FF4D8D2"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14,467,787</w:t>
            </w:r>
          </w:p>
        </w:tc>
        <w:tc>
          <w:tcPr>
            <w:tcW w:w="1989" w:type="dxa"/>
            <w:tcBorders>
              <w:top w:val="nil"/>
              <w:left w:val="nil"/>
              <w:bottom w:val="single" w:sz="8" w:space="0" w:color="auto"/>
              <w:right w:val="single" w:sz="8" w:space="0" w:color="auto"/>
            </w:tcBorders>
            <w:shd w:val="clear" w:color="000000" w:fill="FFFFFF"/>
            <w:noWrap/>
            <w:vAlign w:val="center"/>
            <w:hideMark/>
          </w:tcPr>
          <w:p w14:paraId="6F2EEE64"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16,097,407</w:t>
            </w:r>
          </w:p>
        </w:tc>
      </w:tr>
    </w:tbl>
    <w:p w14:paraId="16532FB1" w14:textId="77777777" w:rsidR="00926C5C" w:rsidRPr="00192892" w:rsidRDefault="00926C5C" w:rsidP="00926C5C">
      <w:pPr>
        <w:jc w:val="both"/>
        <w:rPr>
          <w:rFonts w:ascii="Montserrat" w:hAnsi="Montserrat"/>
          <w:b/>
          <w:sz w:val="22"/>
          <w:szCs w:val="22"/>
        </w:rPr>
      </w:pPr>
    </w:p>
    <w:p w14:paraId="10594955"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13.- Fondos y Bienes de Terceros en Garantía y/o Administración</w:t>
      </w:r>
    </w:p>
    <w:p w14:paraId="4C5F05EA" w14:textId="77777777" w:rsidR="00926C5C" w:rsidRPr="00192892" w:rsidRDefault="00926C5C" w:rsidP="00926C5C">
      <w:pPr>
        <w:rPr>
          <w:rFonts w:ascii="Montserrat" w:hAnsi="Montserrat"/>
          <w:b/>
          <w:sz w:val="22"/>
          <w:szCs w:val="22"/>
        </w:rPr>
      </w:pPr>
    </w:p>
    <w:p w14:paraId="7472B926" w14:textId="755C44D7" w:rsidR="00926C5C" w:rsidRPr="00192892" w:rsidRDefault="00926C5C" w:rsidP="00926C5C">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 xml:space="preserve">En este rubro los entes públicos no reflejan movimientos correspondientes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000C4895">
        <w:rPr>
          <w:rFonts w:ascii="Montserrat" w:hAnsi="Montserrat"/>
          <w:sz w:val="22"/>
          <w:szCs w:val="22"/>
        </w:rPr>
        <w:t>.</w:t>
      </w:r>
    </w:p>
    <w:p w14:paraId="7035CA28"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p>
    <w:p w14:paraId="5A995B56"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14.- Pasivos Diferidos</w:t>
      </w:r>
    </w:p>
    <w:p w14:paraId="4851E75B" w14:textId="77777777" w:rsidR="00926C5C" w:rsidRPr="00192892" w:rsidRDefault="00926C5C" w:rsidP="00926C5C">
      <w:pPr>
        <w:rPr>
          <w:rFonts w:ascii="Montserrat" w:hAnsi="Montserrat"/>
          <w:b/>
          <w:sz w:val="22"/>
          <w:szCs w:val="22"/>
        </w:rPr>
      </w:pPr>
    </w:p>
    <w:p w14:paraId="7A82DA8F" w14:textId="7D9E2BAD" w:rsidR="00926C5C" w:rsidRDefault="00926C5C" w:rsidP="000C4895">
      <w:pPr>
        <w:pBdr>
          <w:top w:val="nil"/>
          <w:left w:val="nil"/>
          <w:bottom w:val="nil"/>
          <w:right w:val="nil"/>
          <w:between w:val="nil"/>
        </w:pBdr>
        <w:jc w:val="both"/>
        <w:rPr>
          <w:rFonts w:ascii="Montserrat" w:hAnsi="Montserrat"/>
          <w:sz w:val="22"/>
          <w:szCs w:val="22"/>
        </w:rPr>
      </w:pPr>
      <w:r w:rsidRPr="00192892">
        <w:rPr>
          <w:rFonts w:ascii="Montserrat" w:hAnsi="Montserrat"/>
          <w:color w:val="000000"/>
          <w:sz w:val="22"/>
          <w:szCs w:val="22"/>
        </w:rPr>
        <w:t xml:space="preserve">En este rubro los entes públicos no reflejan movimientos correspondientes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000C4895">
        <w:rPr>
          <w:rFonts w:ascii="Montserrat" w:hAnsi="Montserrat"/>
          <w:sz w:val="22"/>
          <w:szCs w:val="22"/>
        </w:rPr>
        <w:t>.</w:t>
      </w:r>
    </w:p>
    <w:p w14:paraId="37D1A89E" w14:textId="77777777" w:rsidR="000C4895" w:rsidRPr="00192892" w:rsidRDefault="000C4895" w:rsidP="000C4895">
      <w:pPr>
        <w:pBdr>
          <w:top w:val="nil"/>
          <w:left w:val="nil"/>
          <w:bottom w:val="nil"/>
          <w:right w:val="nil"/>
          <w:between w:val="nil"/>
        </w:pBdr>
        <w:jc w:val="both"/>
        <w:rPr>
          <w:rFonts w:ascii="Montserrat" w:hAnsi="Montserrat"/>
          <w:b/>
          <w:sz w:val="22"/>
          <w:szCs w:val="22"/>
        </w:rPr>
      </w:pPr>
    </w:p>
    <w:p w14:paraId="0907A9D2"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15.- Provisiones</w:t>
      </w:r>
    </w:p>
    <w:p w14:paraId="060A9929" w14:textId="77777777" w:rsidR="00926C5C" w:rsidRPr="00192892" w:rsidRDefault="00926C5C" w:rsidP="00926C5C">
      <w:pPr>
        <w:rPr>
          <w:rFonts w:ascii="Montserrat" w:hAnsi="Montserrat"/>
          <w:b/>
          <w:sz w:val="22"/>
          <w:szCs w:val="22"/>
        </w:rPr>
      </w:pPr>
    </w:p>
    <w:p w14:paraId="5FA27264" w14:textId="5491B0CB" w:rsidR="00926C5C" w:rsidRPr="00192892" w:rsidRDefault="00926C5C" w:rsidP="00926C5C">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 xml:space="preserve">En este rubro los entes públicos no reflejan movimientos correspondientes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Pr="00192892">
        <w:rPr>
          <w:rFonts w:ascii="Montserrat" w:hAnsi="Montserrat"/>
          <w:color w:val="000000"/>
          <w:sz w:val="22"/>
          <w:szCs w:val="22"/>
        </w:rPr>
        <w:t>.</w:t>
      </w:r>
    </w:p>
    <w:p w14:paraId="760B3E84"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p>
    <w:p w14:paraId="286A4624" w14:textId="77777777" w:rsidR="00926C5C" w:rsidRPr="00192892" w:rsidRDefault="00926C5C" w:rsidP="00926C5C">
      <w:pPr>
        <w:jc w:val="both"/>
        <w:rPr>
          <w:rFonts w:ascii="Montserrat" w:hAnsi="Montserrat"/>
          <w:b/>
          <w:sz w:val="22"/>
          <w:szCs w:val="22"/>
        </w:rPr>
      </w:pPr>
      <w:r w:rsidRPr="00192892">
        <w:rPr>
          <w:rFonts w:ascii="Montserrat" w:hAnsi="Montserrat"/>
          <w:b/>
          <w:sz w:val="22"/>
          <w:szCs w:val="22"/>
        </w:rPr>
        <w:t>Nota 16.- Otros Pasivos a Corto Plazo.</w:t>
      </w:r>
    </w:p>
    <w:bookmarkEnd w:id="18"/>
    <w:p w14:paraId="1011940B" w14:textId="77777777" w:rsidR="00926C5C" w:rsidRPr="00192892" w:rsidRDefault="00926C5C" w:rsidP="00926C5C">
      <w:pPr>
        <w:jc w:val="both"/>
        <w:rPr>
          <w:rFonts w:ascii="Montserrat" w:hAnsi="Montserrat"/>
          <w:sz w:val="22"/>
          <w:szCs w:val="22"/>
        </w:rPr>
      </w:pPr>
    </w:p>
    <w:p w14:paraId="0D692FFC"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El saldo dentro del Poder Ejecutivo de las cuentas que conforman este rubro del pasivo representa el monto de los adeudos del Estado con terceros institucionales, que deberá pagar en un plazo menor o igual a doce meses.</w:t>
      </w:r>
    </w:p>
    <w:p w14:paraId="17627CB0" w14:textId="77777777" w:rsidR="00926C5C" w:rsidRPr="00192892" w:rsidRDefault="00926C5C" w:rsidP="00926C5C">
      <w:pPr>
        <w:jc w:val="both"/>
        <w:rPr>
          <w:rFonts w:ascii="Montserrat" w:hAnsi="Montserrat"/>
          <w:sz w:val="22"/>
          <w:szCs w:val="22"/>
        </w:rPr>
      </w:pPr>
    </w:p>
    <w:p w14:paraId="385630DF" w14:textId="2C77EC9A" w:rsidR="00926C5C" w:rsidRPr="00192892" w:rsidRDefault="00926C5C" w:rsidP="00926C5C">
      <w:pPr>
        <w:jc w:val="both"/>
        <w:rPr>
          <w:rFonts w:ascii="Montserrat" w:hAnsi="Montserrat"/>
          <w:sz w:val="22"/>
          <w:szCs w:val="22"/>
        </w:rPr>
      </w:pPr>
      <w:r w:rsidRPr="00192892">
        <w:rPr>
          <w:rFonts w:ascii="Montserrat" w:hAnsi="Montserrat"/>
          <w:sz w:val="22"/>
          <w:szCs w:val="22"/>
        </w:rPr>
        <w:t xml:space="preserve">Se integra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Pr="00192892">
        <w:rPr>
          <w:rFonts w:ascii="Montserrat" w:hAnsi="Montserrat"/>
          <w:sz w:val="22"/>
          <w:szCs w:val="22"/>
        </w:rPr>
        <w:t>de la siguiente forma:</w:t>
      </w:r>
    </w:p>
    <w:p w14:paraId="06D0D9A1" w14:textId="77777777" w:rsidR="00926C5C" w:rsidRPr="00192892" w:rsidRDefault="00926C5C" w:rsidP="00926C5C">
      <w:pPr>
        <w:jc w:val="both"/>
        <w:rPr>
          <w:rFonts w:ascii="Montserrat" w:hAnsi="Montserrat"/>
          <w:sz w:val="22"/>
          <w:szCs w:val="22"/>
        </w:rPr>
      </w:pPr>
    </w:p>
    <w:p w14:paraId="557D69DB" w14:textId="77777777" w:rsidR="00926C5C" w:rsidRPr="00192892" w:rsidRDefault="00926C5C" w:rsidP="00926C5C">
      <w:pP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220F371B"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D405DEC"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495FE12E"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7E4E6F42"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5AABA65D" w14:textId="77777777" w:rsidTr="004B2ED9">
        <w:trPr>
          <w:trHeight w:val="300"/>
        </w:trPr>
        <w:tc>
          <w:tcPr>
            <w:tcW w:w="4480" w:type="dxa"/>
            <w:tcBorders>
              <w:top w:val="nil"/>
              <w:left w:val="single" w:sz="8" w:space="0" w:color="auto"/>
              <w:bottom w:val="nil"/>
              <w:right w:val="single" w:sz="8" w:space="0" w:color="auto"/>
            </w:tcBorders>
            <w:shd w:val="clear" w:color="000000" w:fill="FFFFFF"/>
            <w:noWrap/>
            <w:vAlign w:val="center"/>
            <w:hideMark/>
          </w:tcPr>
          <w:p w14:paraId="3CC1D1AA"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Ingresos Por Clasificar</w:t>
            </w:r>
          </w:p>
        </w:tc>
        <w:tc>
          <w:tcPr>
            <w:tcW w:w="2240" w:type="dxa"/>
            <w:tcBorders>
              <w:top w:val="nil"/>
              <w:left w:val="nil"/>
              <w:bottom w:val="nil"/>
              <w:right w:val="single" w:sz="8" w:space="0" w:color="auto"/>
            </w:tcBorders>
            <w:shd w:val="clear" w:color="000000" w:fill="FFFFFF"/>
            <w:noWrap/>
            <w:vAlign w:val="center"/>
            <w:hideMark/>
          </w:tcPr>
          <w:p w14:paraId="72952BD7"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27,871,586</w:t>
            </w:r>
          </w:p>
        </w:tc>
        <w:tc>
          <w:tcPr>
            <w:tcW w:w="2220" w:type="dxa"/>
            <w:tcBorders>
              <w:top w:val="nil"/>
              <w:left w:val="nil"/>
              <w:bottom w:val="nil"/>
              <w:right w:val="single" w:sz="8" w:space="0" w:color="auto"/>
            </w:tcBorders>
            <w:shd w:val="clear" w:color="000000" w:fill="FFFFFF"/>
            <w:noWrap/>
            <w:vAlign w:val="center"/>
            <w:hideMark/>
          </w:tcPr>
          <w:p w14:paraId="5FBFC313"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19,760,901</w:t>
            </w:r>
          </w:p>
        </w:tc>
      </w:tr>
      <w:tr w:rsidR="004B2ED9" w:rsidRPr="004B2ED9" w14:paraId="758C93C5" w14:textId="77777777" w:rsidTr="004B2ED9">
        <w:trPr>
          <w:trHeight w:val="300"/>
        </w:trPr>
        <w:tc>
          <w:tcPr>
            <w:tcW w:w="4480" w:type="dxa"/>
            <w:tcBorders>
              <w:top w:val="nil"/>
              <w:left w:val="single" w:sz="8" w:space="0" w:color="auto"/>
              <w:bottom w:val="nil"/>
              <w:right w:val="single" w:sz="8" w:space="0" w:color="auto"/>
            </w:tcBorders>
            <w:shd w:val="clear" w:color="000000" w:fill="FFFFFF"/>
            <w:noWrap/>
            <w:vAlign w:val="center"/>
            <w:hideMark/>
          </w:tcPr>
          <w:p w14:paraId="061A1E4C"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Recaudación Por Participar</w:t>
            </w:r>
          </w:p>
        </w:tc>
        <w:tc>
          <w:tcPr>
            <w:tcW w:w="2240" w:type="dxa"/>
            <w:tcBorders>
              <w:top w:val="nil"/>
              <w:left w:val="nil"/>
              <w:bottom w:val="nil"/>
              <w:right w:val="single" w:sz="8" w:space="0" w:color="auto"/>
            </w:tcBorders>
            <w:shd w:val="clear" w:color="000000" w:fill="FFFFFF"/>
            <w:noWrap/>
            <w:vAlign w:val="center"/>
            <w:hideMark/>
          </w:tcPr>
          <w:p w14:paraId="3308FB4A"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28,833,943</w:t>
            </w:r>
          </w:p>
        </w:tc>
        <w:tc>
          <w:tcPr>
            <w:tcW w:w="2220" w:type="dxa"/>
            <w:tcBorders>
              <w:top w:val="nil"/>
              <w:left w:val="nil"/>
              <w:bottom w:val="nil"/>
              <w:right w:val="single" w:sz="8" w:space="0" w:color="auto"/>
            </w:tcBorders>
            <w:shd w:val="clear" w:color="000000" w:fill="FFFFFF"/>
            <w:noWrap/>
            <w:vAlign w:val="center"/>
            <w:hideMark/>
          </w:tcPr>
          <w:p w14:paraId="7A9D09C4"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30,940,230</w:t>
            </w:r>
          </w:p>
        </w:tc>
      </w:tr>
      <w:tr w:rsidR="004B2ED9" w:rsidRPr="004B2ED9" w14:paraId="616455C7"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2D0DD83D"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Otros Pasivos Circulantes</w:t>
            </w:r>
          </w:p>
        </w:tc>
        <w:tc>
          <w:tcPr>
            <w:tcW w:w="2240" w:type="dxa"/>
            <w:tcBorders>
              <w:top w:val="nil"/>
              <w:left w:val="nil"/>
              <w:bottom w:val="single" w:sz="8" w:space="0" w:color="auto"/>
              <w:right w:val="single" w:sz="8" w:space="0" w:color="auto"/>
            </w:tcBorders>
            <w:shd w:val="clear" w:color="000000" w:fill="FFFFFF"/>
            <w:noWrap/>
            <w:vAlign w:val="center"/>
            <w:hideMark/>
          </w:tcPr>
          <w:p w14:paraId="072D76C1"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2,337,534</w:t>
            </w:r>
          </w:p>
        </w:tc>
        <w:tc>
          <w:tcPr>
            <w:tcW w:w="2220" w:type="dxa"/>
            <w:tcBorders>
              <w:top w:val="nil"/>
              <w:left w:val="nil"/>
              <w:bottom w:val="single" w:sz="8" w:space="0" w:color="auto"/>
              <w:right w:val="single" w:sz="8" w:space="0" w:color="auto"/>
            </w:tcBorders>
            <w:shd w:val="clear" w:color="000000" w:fill="FFFFFF"/>
            <w:noWrap/>
            <w:vAlign w:val="center"/>
            <w:hideMark/>
          </w:tcPr>
          <w:p w14:paraId="76316E60"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577,794</w:t>
            </w:r>
          </w:p>
        </w:tc>
      </w:tr>
      <w:tr w:rsidR="004B2ED9" w:rsidRPr="004B2ED9" w14:paraId="6F3F5FFE"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613BABB3"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4936EE42"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59,043,062</w:t>
            </w:r>
          </w:p>
        </w:tc>
        <w:tc>
          <w:tcPr>
            <w:tcW w:w="2220" w:type="dxa"/>
            <w:tcBorders>
              <w:top w:val="nil"/>
              <w:left w:val="nil"/>
              <w:bottom w:val="single" w:sz="8" w:space="0" w:color="auto"/>
              <w:right w:val="single" w:sz="8" w:space="0" w:color="auto"/>
            </w:tcBorders>
            <w:shd w:val="clear" w:color="000000" w:fill="FFFFFF"/>
            <w:noWrap/>
            <w:vAlign w:val="center"/>
            <w:hideMark/>
          </w:tcPr>
          <w:p w14:paraId="5B5F39F5"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51,278,925</w:t>
            </w:r>
          </w:p>
        </w:tc>
      </w:tr>
    </w:tbl>
    <w:p w14:paraId="43FE2D2C" w14:textId="77777777" w:rsidR="00926C5C" w:rsidRPr="00192892" w:rsidRDefault="00926C5C" w:rsidP="00926C5C">
      <w:pPr>
        <w:tabs>
          <w:tab w:val="left" w:pos="2859"/>
        </w:tabs>
        <w:rPr>
          <w:rFonts w:ascii="Montserrat" w:hAnsi="Montserrat"/>
          <w:b/>
          <w:sz w:val="22"/>
          <w:szCs w:val="22"/>
        </w:rPr>
      </w:pPr>
    </w:p>
    <w:p w14:paraId="610948F4" w14:textId="77777777" w:rsidR="006F04B3" w:rsidRDefault="006F04B3" w:rsidP="00926C5C">
      <w:pPr>
        <w:tabs>
          <w:tab w:val="left" w:pos="142"/>
        </w:tabs>
        <w:jc w:val="both"/>
        <w:rPr>
          <w:rFonts w:ascii="Montserrat" w:hAnsi="Montserrat"/>
          <w:b/>
          <w:sz w:val="22"/>
          <w:szCs w:val="22"/>
        </w:rPr>
      </w:pPr>
      <w:bookmarkStart w:id="19" w:name="_Hlk157391948"/>
    </w:p>
    <w:p w14:paraId="0917DB9C" w14:textId="338DC69D" w:rsidR="00926C5C" w:rsidRPr="00192892" w:rsidRDefault="00926C5C" w:rsidP="00926C5C">
      <w:pPr>
        <w:tabs>
          <w:tab w:val="left" w:pos="142"/>
        </w:tabs>
        <w:jc w:val="both"/>
        <w:rPr>
          <w:rFonts w:ascii="Montserrat" w:hAnsi="Montserrat"/>
          <w:sz w:val="22"/>
          <w:szCs w:val="22"/>
        </w:rPr>
      </w:pPr>
      <w:r w:rsidRPr="00192892">
        <w:rPr>
          <w:rFonts w:ascii="Montserrat" w:hAnsi="Montserrat"/>
          <w:b/>
          <w:sz w:val="22"/>
          <w:szCs w:val="22"/>
        </w:rPr>
        <w:t>Nota 17.- Deuda Pública a Largo Plazo.</w:t>
      </w:r>
    </w:p>
    <w:bookmarkEnd w:id="19"/>
    <w:p w14:paraId="7350B55A" w14:textId="77777777" w:rsidR="00926C5C" w:rsidRPr="00192892" w:rsidRDefault="00926C5C" w:rsidP="00926C5C">
      <w:pPr>
        <w:tabs>
          <w:tab w:val="left" w:pos="142"/>
        </w:tabs>
        <w:ind w:firstLine="720"/>
        <w:jc w:val="both"/>
        <w:rPr>
          <w:rFonts w:ascii="Montserrat" w:hAnsi="Montserrat"/>
          <w:sz w:val="22"/>
          <w:szCs w:val="22"/>
        </w:rPr>
      </w:pPr>
    </w:p>
    <w:p w14:paraId="7A4A3B0C" w14:textId="5293E3A8" w:rsidR="00926C5C" w:rsidRPr="00192892" w:rsidRDefault="00926C5C" w:rsidP="00926C5C">
      <w:pPr>
        <w:tabs>
          <w:tab w:val="left" w:pos="142"/>
        </w:tabs>
        <w:jc w:val="both"/>
        <w:rPr>
          <w:rFonts w:ascii="Montserrat" w:hAnsi="Montserrat"/>
          <w:sz w:val="22"/>
          <w:szCs w:val="22"/>
        </w:rPr>
      </w:pPr>
      <w:r w:rsidRPr="00192892">
        <w:rPr>
          <w:rFonts w:ascii="Montserrat" w:hAnsi="Montserrat"/>
          <w:sz w:val="22"/>
          <w:szCs w:val="22"/>
        </w:rPr>
        <w:t xml:space="preserve">El saldo de esta cuenta representa el monto de las obligaciones directas o contingentes derivadas de financiamiento a cargo del Estado dentro del Poder Ejecutivo. A continuación, se presenta la integración de este rubro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Pr="00192892">
        <w:rPr>
          <w:rFonts w:ascii="Montserrat" w:hAnsi="Montserrat"/>
          <w:sz w:val="22"/>
          <w:szCs w:val="22"/>
        </w:rPr>
        <w:t>:</w:t>
      </w:r>
    </w:p>
    <w:p w14:paraId="77FB1C8F" w14:textId="77777777" w:rsidR="00926C5C" w:rsidRPr="00192892" w:rsidRDefault="00926C5C" w:rsidP="00926C5C">
      <w:pPr>
        <w:jc w:val="center"/>
        <w:rPr>
          <w:rFonts w:ascii="Montserrat" w:hAnsi="Montserrat"/>
          <w:b/>
          <w:sz w:val="22"/>
          <w:szCs w:val="22"/>
        </w:rPr>
      </w:pPr>
      <w:r w:rsidRPr="00192892">
        <w:rPr>
          <w:rFonts w:ascii="Montserrat" w:hAnsi="Montserrat"/>
          <w:b/>
          <w:sz w:val="22"/>
          <w:szCs w:val="22"/>
        </w:rPr>
        <w:t xml:space="preserve"> (Pesos)</w:t>
      </w:r>
    </w:p>
    <w:tbl>
      <w:tblPr>
        <w:tblW w:w="8910" w:type="dxa"/>
        <w:tblCellMar>
          <w:left w:w="70" w:type="dxa"/>
          <w:right w:w="70" w:type="dxa"/>
        </w:tblCellMar>
        <w:tblLook w:val="04A0" w:firstRow="1" w:lastRow="0" w:firstColumn="1" w:lastColumn="0" w:noHBand="0" w:noVBand="1"/>
      </w:tblPr>
      <w:tblGrid>
        <w:gridCol w:w="5235"/>
        <w:gridCol w:w="1860"/>
        <w:gridCol w:w="1815"/>
      </w:tblGrid>
      <w:tr w:rsidR="004B2ED9" w:rsidRPr="004B2ED9" w14:paraId="24F51323" w14:textId="77777777" w:rsidTr="004B2ED9">
        <w:trPr>
          <w:trHeight w:val="315"/>
        </w:trPr>
        <w:tc>
          <w:tcPr>
            <w:tcW w:w="523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31557259"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1860" w:type="dxa"/>
            <w:tcBorders>
              <w:top w:val="single" w:sz="8" w:space="0" w:color="auto"/>
              <w:left w:val="nil"/>
              <w:bottom w:val="single" w:sz="8" w:space="0" w:color="auto"/>
              <w:right w:val="single" w:sz="8" w:space="0" w:color="auto"/>
            </w:tcBorders>
            <w:shd w:val="clear" w:color="000000" w:fill="828282"/>
            <w:vAlign w:val="center"/>
            <w:hideMark/>
          </w:tcPr>
          <w:p w14:paraId="36108E09"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1815" w:type="dxa"/>
            <w:tcBorders>
              <w:top w:val="single" w:sz="8" w:space="0" w:color="auto"/>
              <w:left w:val="nil"/>
              <w:bottom w:val="single" w:sz="8" w:space="0" w:color="auto"/>
              <w:right w:val="single" w:sz="8" w:space="0" w:color="auto"/>
            </w:tcBorders>
            <w:shd w:val="clear" w:color="000000" w:fill="828282"/>
            <w:vAlign w:val="center"/>
            <w:hideMark/>
          </w:tcPr>
          <w:p w14:paraId="3425B09C"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36703D85" w14:textId="77777777" w:rsidTr="004B2ED9">
        <w:trPr>
          <w:trHeight w:val="585"/>
        </w:trPr>
        <w:tc>
          <w:tcPr>
            <w:tcW w:w="5235" w:type="dxa"/>
            <w:tcBorders>
              <w:top w:val="nil"/>
              <w:left w:val="single" w:sz="8" w:space="0" w:color="auto"/>
              <w:bottom w:val="single" w:sz="8" w:space="0" w:color="auto"/>
              <w:right w:val="single" w:sz="8" w:space="0" w:color="auto"/>
            </w:tcBorders>
            <w:shd w:val="clear" w:color="auto" w:fill="auto"/>
            <w:noWrap/>
            <w:vAlign w:val="center"/>
            <w:hideMark/>
          </w:tcPr>
          <w:p w14:paraId="68EBDD9C"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 xml:space="preserve">Prestamos de la Deuda Pública Interna por Pagar a Largo Plazo </w:t>
            </w:r>
          </w:p>
        </w:tc>
        <w:tc>
          <w:tcPr>
            <w:tcW w:w="1860" w:type="dxa"/>
            <w:tcBorders>
              <w:top w:val="nil"/>
              <w:left w:val="nil"/>
              <w:bottom w:val="single" w:sz="8" w:space="0" w:color="auto"/>
              <w:right w:val="single" w:sz="8" w:space="0" w:color="auto"/>
            </w:tcBorders>
            <w:shd w:val="clear" w:color="000000" w:fill="FFFFFF"/>
            <w:noWrap/>
            <w:vAlign w:val="center"/>
            <w:hideMark/>
          </w:tcPr>
          <w:p w14:paraId="3BA196D8"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14,901,301,225</w:t>
            </w:r>
          </w:p>
        </w:tc>
        <w:tc>
          <w:tcPr>
            <w:tcW w:w="1815" w:type="dxa"/>
            <w:tcBorders>
              <w:top w:val="nil"/>
              <w:left w:val="nil"/>
              <w:bottom w:val="single" w:sz="8" w:space="0" w:color="auto"/>
              <w:right w:val="single" w:sz="8" w:space="0" w:color="auto"/>
            </w:tcBorders>
            <w:shd w:val="clear" w:color="000000" w:fill="FFFFFF"/>
            <w:noWrap/>
            <w:vAlign w:val="center"/>
            <w:hideMark/>
          </w:tcPr>
          <w:p w14:paraId="4124A8E5"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15,241,740,656</w:t>
            </w:r>
          </w:p>
        </w:tc>
      </w:tr>
      <w:tr w:rsidR="004B2ED9" w:rsidRPr="004B2ED9" w14:paraId="7B6BF7E3" w14:textId="77777777" w:rsidTr="004B2ED9">
        <w:trPr>
          <w:trHeight w:val="315"/>
        </w:trPr>
        <w:tc>
          <w:tcPr>
            <w:tcW w:w="5235" w:type="dxa"/>
            <w:tcBorders>
              <w:top w:val="nil"/>
              <w:left w:val="single" w:sz="8" w:space="0" w:color="auto"/>
              <w:bottom w:val="single" w:sz="8" w:space="0" w:color="auto"/>
              <w:right w:val="single" w:sz="8" w:space="0" w:color="auto"/>
            </w:tcBorders>
            <w:shd w:val="clear" w:color="000000" w:fill="FFFFFF"/>
            <w:noWrap/>
            <w:vAlign w:val="center"/>
            <w:hideMark/>
          </w:tcPr>
          <w:p w14:paraId="0AF4F97A"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1860" w:type="dxa"/>
            <w:tcBorders>
              <w:top w:val="nil"/>
              <w:left w:val="nil"/>
              <w:bottom w:val="single" w:sz="8" w:space="0" w:color="auto"/>
              <w:right w:val="single" w:sz="8" w:space="0" w:color="auto"/>
            </w:tcBorders>
            <w:shd w:val="clear" w:color="000000" w:fill="FFFFFF"/>
            <w:noWrap/>
            <w:vAlign w:val="center"/>
            <w:hideMark/>
          </w:tcPr>
          <w:p w14:paraId="73136ED8"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14,901,301,225</w:t>
            </w:r>
          </w:p>
        </w:tc>
        <w:tc>
          <w:tcPr>
            <w:tcW w:w="1815" w:type="dxa"/>
            <w:tcBorders>
              <w:top w:val="nil"/>
              <w:left w:val="nil"/>
              <w:bottom w:val="single" w:sz="8" w:space="0" w:color="auto"/>
              <w:right w:val="single" w:sz="8" w:space="0" w:color="auto"/>
            </w:tcBorders>
            <w:shd w:val="clear" w:color="000000" w:fill="FFFFFF"/>
            <w:noWrap/>
            <w:vAlign w:val="center"/>
            <w:hideMark/>
          </w:tcPr>
          <w:p w14:paraId="4B905725"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15,241,740,656</w:t>
            </w:r>
          </w:p>
        </w:tc>
      </w:tr>
    </w:tbl>
    <w:p w14:paraId="590EED03" w14:textId="77777777" w:rsidR="00926C5C" w:rsidRPr="00192892" w:rsidRDefault="00926C5C" w:rsidP="00926C5C">
      <w:pPr>
        <w:jc w:val="center"/>
        <w:rPr>
          <w:rFonts w:ascii="Montserrat" w:hAnsi="Montserrat"/>
          <w:b/>
          <w:sz w:val="22"/>
          <w:szCs w:val="22"/>
        </w:rPr>
      </w:pPr>
    </w:p>
    <w:p w14:paraId="2CA765B5" w14:textId="77777777" w:rsidR="00926C5C" w:rsidRDefault="00926C5C" w:rsidP="00926C5C">
      <w:pPr>
        <w:rPr>
          <w:rFonts w:ascii="Montserrat" w:hAnsi="Montserrat"/>
          <w:sz w:val="22"/>
          <w:szCs w:val="22"/>
        </w:rPr>
      </w:pPr>
    </w:p>
    <w:p w14:paraId="2CF58D86" w14:textId="77777777" w:rsidR="00926C5C" w:rsidRPr="00192892" w:rsidRDefault="00926C5C" w:rsidP="00926C5C">
      <w:pPr>
        <w:jc w:val="both"/>
        <w:rPr>
          <w:rFonts w:ascii="Montserrat" w:hAnsi="Montserrat"/>
          <w:b/>
          <w:sz w:val="22"/>
          <w:szCs w:val="22"/>
        </w:rPr>
      </w:pPr>
      <w:bookmarkStart w:id="20" w:name="_Hlk157392040"/>
      <w:r w:rsidRPr="00192892">
        <w:rPr>
          <w:rFonts w:ascii="Montserrat" w:hAnsi="Montserrat"/>
          <w:b/>
          <w:sz w:val="22"/>
          <w:szCs w:val="22"/>
        </w:rPr>
        <w:t>Nota 18.- Fondos y Bienes de Terceros en Garantía y/o en Administración a Largo Plazo.</w:t>
      </w:r>
    </w:p>
    <w:bookmarkEnd w:id="20"/>
    <w:p w14:paraId="63430D11" w14:textId="77777777" w:rsidR="00926C5C" w:rsidRPr="00192892" w:rsidRDefault="00926C5C" w:rsidP="00926C5C">
      <w:pPr>
        <w:jc w:val="both"/>
        <w:rPr>
          <w:rFonts w:ascii="Montserrat" w:hAnsi="Montserrat"/>
          <w:b/>
          <w:sz w:val="22"/>
          <w:szCs w:val="22"/>
        </w:rPr>
      </w:pPr>
    </w:p>
    <w:p w14:paraId="1E5938A5" w14:textId="01FABEA2" w:rsidR="00926C5C" w:rsidRPr="00192892" w:rsidRDefault="00926C5C" w:rsidP="00926C5C">
      <w:pPr>
        <w:jc w:val="both"/>
        <w:rPr>
          <w:rFonts w:ascii="Montserrat" w:hAnsi="Montserrat"/>
          <w:sz w:val="22"/>
          <w:szCs w:val="22"/>
        </w:rPr>
      </w:pPr>
      <w:r w:rsidRPr="00192892">
        <w:rPr>
          <w:rFonts w:ascii="Montserrat" w:hAnsi="Montserrat"/>
          <w:sz w:val="22"/>
          <w:szCs w:val="22"/>
        </w:rPr>
        <w:t xml:space="preserve">El saldo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Pr="00192892">
        <w:rPr>
          <w:rFonts w:ascii="Montserrat" w:hAnsi="Montserrat"/>
          <w:sz w:val="22"/>
          <w:szCs w:val="22"/>
        </w:rPr>
        <w:t>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5FDEC1E5" w14:textId="77777777" w:rsidR="00926C5C" w:rsidRPr="00192892" w:rsidRDefault="00926C5C" w:rsidP="00926C5C">
      <w:pPr>
        <w:rPr>
          <w:rFonts w:ascii="Montserrat" w:hAnsi="Montserrat"/>
          <w:sz w:val="22"/>
          <w:szCs w:val="22"/>
        </w:rPr>
      </w:pPr>
    </w:p>
    <w:p w14:paraId="7FC1519E" w14:textId="77777777" w:rsidR="00926C5C" w:rsidRPr="00192892" w:rsidRDefault="00926C5C" w:rsidP="00926C5C">
      <w:pP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04421A6C"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0B12C52" w14:textId="77777777" w:rsidR="004B2ED9" w:rsidRPr="00EE0424" w:rsidRDefault="004B2ED9" w:rsidP="004B2ED9">
            <w:pPr>
              <w:jc w:val="center"/>
              <w:rPr>
                <w:rFonts w:eastAsia="Times New Roman" w:cs="Times New Roman"/>
                <w:b/>
                <w:bCs/>
                <w:color w:val="FFFFFF" w:themeColor="background1"/>
                <w:sz w:val="22"/>
                <w:szCs w:val="22"/>
                <w:lang w:val="es-MX"/>
              </w:rPr>
            </w:pPr>
            <w:bookmarkStart w:id="21" w:name="_Hlk157392110"/>
            <w:r w:rsidRPr="00EE0424">
              <w:rPr>
                <w:rFonts w:eastAsia="Times New Roman" w:cs="Times New Roman"/>
                <w:b/>
                <w:bCs/>
                <w:color w:val="FFFFFF" w:themeColor="background1"/>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57FE38CE"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4ED609C8"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4B9E65C6"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76FC4FC3"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Fondos en Garantía a Largo Plazo</w:t>
            </w:r>
          </w:p>
        </w:tc>
        <w:tc>
          <w:tcPr>
            <w:tcW w:w="2240" w:type="dxa"/>
            <w:tcBorders>
              <w:top w:val="nil"/>
              <w:left w:val="nil"/>
              <w:bottom w:val="single" w:sz="8" w:space="0" w:color="auto"/>
              <w:right w:val="single" w:sz="8" w:space="0" w:color="auto"/>
            </w:tcBorders>
            <w:shd w:val="clear" w:color="000000" w:fill="FFFFFF"/>
            <w:noWrap/>
            <w:vAlign w:val="center"/>
            <w:hideMark/>
          </w:tcPr>
          <w:p w14:paraId="488CE453"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24,544,283</w:t>
            </w:r>
          </w:p>
        </w:tc>
        <w:tc>
          <w:tcPr>
            <w:tcW w:w="2220" w:type="dxa"/>
            <w:tcBorders>
              <w:top w:val="nil"/>
              <w:left w:val="nil"/>
              <w:bottom w:val="single" w:sz="8" w:space="0" w:color="auto"/>
              <w:right w:val="single" w:sz="8" w:space="0" w:color="auto"/>
            </w:tcBorders>
            <w:shd w:val="clear" w:color="000000" w:fill="FFFFFF"/>
            <w:noWrap/>
            <w:vAlign w:val="center"/>
            <w:hideMark/>
          </w:tcPr>
          <w:p w14:paraId="602020FD"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21,269,110</w:t>
            </w:r>
          </w:p>
        </w:tc>
      </w:tr>
      <w:tr w:rsidR="004B2ED9" w:rsidRPr="004B2ED9" w14:paraId="21BCB57D"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16B32AEF"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7282C9AB"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24,544,283</w:t>
            </w:r>
          </w:p>
        </w:tc>
        <w:tc>
          <w:tcPr>
            <w:tcW w:w="2220" w:type="dxa"/>
            <w:tcBorders>
              <w:top w:val="nil"/>
              <w:left w:val="nil"/>
              <w:bottom w:val="single" w:sz="8" w:space="0" w:color="auto"/>
              <w:right w:val="single" w:sz="8" w:space="0" w:color="auto"/>
            </w:tcBorders>
            <w:shd w:val="clear" w:color="000000" w:fill="FFFFFF"/>
            <w:noWrap/>
            <w:vAlign w:val="center"/>
            <w:hideMark/>
          </w:tcPr>
          <w:p w14:paraId="1E7FA3D4"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21,269,110</w:t>
            </w:r>
          </w:p>
        </w:tc>
      </w:tr>
    </w:tbl>
    <w:p w14:paraId="034E6A51" w14:textId="77777777" w:rsidR="00926C5C" w:rsidRPr="00192892" w:rsidRDefault="00926C5C" w:rsidP="00926C5C">
      <w:pPr>
        <w:rPr>
          <w:rFonts w:ascii="Montserrat" w:hAnsi="Montserrat"/>
          <w:b/>
          <w:sz w:val="22"/>
          <w:szCs w:val="22"/>
        </w:rPr>
      </w:pPr>
    </w:p>
    <w:p w14:paraId="43B97EBA" w14:textId="77777777" w:rsidR="004B2ED9" w:rsidRDefault="004B2ED9" w:rsidP="00926C5C">
      <w:pPr>
        <w:rPr>
          <w:rFonts w:ascii="Montserrat" w:hAnsi="Montserrat"/>
          <w:b/>
          <w:sz w:val="22"/>
          <w:szCs w:val="22"/>
        </w:rPr>
      </w:pPr>
    </w:p>
    <w:p w14:paraId="58075D6C" w14:textId="77777777" w:rsidR="006F04B3" w:rsidRDefault="006F04B3" w:rsidP="00926C5C">
      <w:pPr>
        <w:rPr>
          <w:rFonts w:ascii="Montserrat" w:hAnsi="Montserrat"/>
          <w:b/>
          <w:sz w:val="22"/>
          <w:szCs w:val="22"/>
        </w:rPr>
      </w:pPr>
    </w:p>
    <w:p w14:paraId="72515634" w14:textId="7F0E05F4" w:rsidR="00926C5C" w:rsidRPr="00192892" w:rsidRDefault="00926C5C" w:rsidP="00926C5C">
      <w:pPr>
        <w:rPr>
          <w:rFonts w:ascii="Montserrat" w:hAnsi="Montserrat"/>
          <w:b/>
          <w:sz w:val="22"/>
          <w:szCs w:val="22"/>
        </w:rPr>
      </w:pPr>
      <w:r w:rsidRPr="00192892">
        <w:rPr>
          <w:rFonts w:ascii="Montserrat" w:hAnsi="Montserrat"/>
          <w:b/>
          <w:sz w:val="22"/>
          <w:szCs w:val="22"/>
        </w:rPr>
        <w:t>NOTAS AL ESTADO DE VARIACIÓN EN LA HACIENDA PÚBLICA</w:t>
      </w:r>
    </w:p>
    <w:p w14:paraId="3564EC40" w14:textId="77777777" w:rsidR="00926C5C" w:rsidRPr="00192892" w:rsidRDefault="00926C5C" w:rsidP="00926C5C">
      <w:pPr>
        <w:jc w:val="both"/>
        <w:rPr>
          <w:rFonts w:ascii="Montserrat" w:hAnsi="Montserrat"/>
          <w:b/>
          <w:sz w:val="22"/>
          <w:szCs w:val="22"/>
        </w:rPr>
      </w:pPr>
    </w:p>
    <w:p w14:paraId="276BF546" w14:textId="77777777" w:rsidR="004B2ED9" w:rsidRDefault="004B2ED9" w:rsidP="00926C5C">
      <w:pPr>
        <w:jc w:val="both"/>
        <w:rPr>
          <w:rFonts w:ascii="Montserrat" w:hAnsi="Montserrat"/>
          <w:b/>
          <w:sz w:val="22"/>
          <w:szCs w:val="22"/>
        </w:rPr>
      </w:pPr>
    </w:p>
    <w:p w14:paraId="7BC81841" w14:textId="3E3F8F5F" w:rsidR="00926C5C" w:rsidRPr="00192892" w:rsidRDefault="00926C5C" w:rsidP="00926C5C">
      <w:pPr>
        <w:jc w:val="both"/>
        <w:rPr>
          <w:rFonts w:ascii="Montserrat" w:hAnsi="Montserrat"/>
          <w:b/>
          <w:sz w:val="22"/>
          <w:szCs w:val="22"/>
        </w:rPr>
      </w:pPr>
      <w:r w:rsidRPr="00192892">
        <w:rPr>
          <w:rFonts w:ascii="Montserrat" w:hAnsi="Montserrat"/>
          <w:b/>
          <w:sz w:val="22"/>
          <w:szCs w:val="22"/>
        </w:rPr>
        <w:t>Nota 19.- Variación de la Hacienda Pública/Patrimonio</w:t>
      </w:r>
    </w:p>
    <w:bookmarkEnd w:id="21"/>
    <w:p w14:paraId="465780FB" w14:textId="77777777" w:rsidR="00926C5C" w:rsidRPr="00192892" w:rsidRDefault="00926C5C" w:rsidP="00926C5C">
      <w:pPr>
        <w:pBdr>
          <w:top w:val="nil"/>
          <w:left w:val="nil"/>
          <w:bottom w:val="nil"/>
          <w:right w:val="nil"/>
          <w:between w:val="nil"/>
        </w:pBdr>
        <w:jc w:val="both"/>
        <w:rPr>
          <w:rFonts w:ascii="Montserrat" w:hAnsi="Montserrat"/>
          <w:sz w:val="22"/>
          <w:szCs w:val="22"/>
        </w:rPr>
      </w:pPr>
    </w:p>
    <w:p w14:paraId="4D65FCAE" w14:textId="602E8631"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 xml:space="preserve">Este Estado Consolidado muestra el monto de la Hacienda Pública/Patrimonio, con relación al Estado de Situación Financiera Consolidado del Poder Ejecutivo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Pr="00192892">
        <w:rPr>
          <w:rFonts w:ascii="Montserrat" w:hAnsi="Montserrat"/>
          <w:sz w:val="22"/>
          <w:szCs w:val="22"/>
        </w:rPr>
        <w:t>, se integra de la siguiente forma:</w:t>
      </w:r>
    </w:p>
    <w:p w14:paraId="5C9B7EE5" w14:textId="2D97D4C6" w:rsidR="006F04B3" w:rsidRDefault="006F04B3">
      <w:pPr>
        <w:rPr>
          <w:rFonts w:ascii="Montserrat" w:hAnsi="Montserrat"/>
          <w:sz w:val="22"/>
          <w:szCs w:val="22"/>
        </w:rPr>
      </w:pPr>
      <w:r>
        <w:rPr>
          <w:rFonts w:ascii="Montserrat" w:hAnsi="Montserrat"/>
          <w:sz w:val="22"/>
          <w:szCs w:val="22"/>
        </w:rPr>
        <w:br w:type="page"/>
      </w:r>
    </w:p>
    <w:p w14:paraId="34CA6FEB" w14:textId="77777777" w:rsidR="00926C5C" w:rsidRPr="00192892" w:rsidRDefault="00926C5C" w:rsidP="00926C5C">
      <w:pPr>
        <w:widowControl w:val="0"/>
        <w:jc w:val="both"/>
        <w:rPr>
          <w:rFonts w:ascii="Montserrat" w:hAnsi="Montserrat"/>
          <w:sz w:val="22"/>
          <w:szCs w:val="22"/>
        </w:rPr>
      </w:pPr>
    </w:p>
    <w:p w14:paraId="545FEF4E" w14:textId="77777777" w:rsidR="00926C5C" w:rsidRPr="00192892" w:rsidRDefault="00926C5C" w:rsidP="00926C5C">
      <w:pPr>
        <w:widowControl w:val="0"/>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35E1241A"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55348083"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5A32FA27"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70B39ED4"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02DC335E" w14:textId="77777777" w:rsidTr="004B2ED9">
        <w:trPr>
          <w:trHeight w:val="300"/>
        </w:trPr>
        <w:tc>
          <w:tcPr>
            <w:tcW w:w="4480" w:type="dxa"/>
            <w:tcBorders>
              <w:top w:val="nil"/>
              <w:left w:val="single" w:sz="8" w:space="0" w:color="auto"/>
              <w:bottom w:val="single" w:sz="4" w:space="0" w:color="auto"/>
              <w:right w:val="single" w:sz="8" w:space="0" w:color="auto"/>
            </w:tcBorders>
            <w:shd w:val="clear" w:color="000000" w:fill="FFFFFF"/>
            <w:vAlign w:val="center"/>
            <w:hideMark/>
          </w:tcPr>
          <w:p w14:paraId="1932C14E"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Hacienda Pública/Patrimonio Contribuido</w:t>
            </w:r>
          </w:p>
        </w:tc>
        <w:tc>
          <w:tcPr>
            <w:tcW w:w="2240" w:type="dxa"/>
            <w:tcBorders>
              <w:top w:val="nil"/>
              <w:left w:val="nil"/>
              <w:bottom w:val="single" w:sz="4" w:space="0" w:color="auto"/>
              <w:right w:val="single" w:sz="8" w:space="0" w:color="auto"/>
            </w:tcBorders>
            <w:shd w:val="clear" w:color="000000" w:fill="FFFFFF"/>
            <w:noWrap/>
            <w:vAlign w:val="center"/>
            <w:hideMark/>
          </w:tcPr>
          <w:p w14:paraId="4B2E883B"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6,034,282,410</w:t>
            </w:r>
          </w:p>
        </w:tc>
        <w:tc>
          <w:tcPr>
            <w:tcW w:w="2220" w:type="dxa"/>
            <w:tcBorders>
              <w:top w:val="nil"/>
              <w:left w:val="nil"/>
              <w:bottom w:val="single" w:sz="4" w:space="0" w:color="auto"/>
              <w:right w:val="single" w:sz="8" w:space="0" w:color="auto"/>
            </w:tcBorders>
            <w:shd w:val="clear" w:color="000000" w:fill="FFFFFF"/>
            <w:noWrap/>
            <w:vAlign w:val="center"/>
            <w:hideMark/>
          </w:tcPr>
          <w:p w14:paraId="532D106E"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5,323,951,785</w:t>
            </w:r>
          </w:p>
        </w:tc>
      </w:tr>
      <w:tr w:rsidR="004B2ED9" w:rsidRPr="004B2ED9" w14:paraId="148F6426"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54AB43BC" w14:textId="77777777" w:rsidR="004B2ED9" w:rsidRPr="004B2ED9" w:rsidRDefault="004B2ED9" w:rsidP="004B2ED9">
            <w:pPr>
              <w:jc w:val="both"/>
              <w:rPr>
                <w:rFonts w:eastAsia="Times New Roman" w:cs="Times New Roman"/>
                <w:color w:val="000000"/>
                <w:sz w:val="22"/>
                <w:szCs w:val="22"/>
                <w:lang w:val="es-MX"/>
              </w:rPr>
            </w:pPr>
            <w:r w:rsidRPr="004B2ED9">
              <w:rPr>
                <w:rFonts w:eastAsia="Times New Roman" w:cs="Times New Roman"/>
                <w:color w:val="000000"/>
                <w:sz w:val="22"/>
                <w:szCs w:val="22"/>
                <w:lang w:val="es-MX"/>
              </w:rPr>
              <w:t>Hacienda Pública/Patrimonio Generado</w:t>
            </w:r>
          </w:p>
        </w:tc>
        <w:tc>
          <w:tcPr>
            <w:tcW w:w="2240" w:type="dxa"/>
            <w:tcBorders>
              <w:top w:val="nil"/>
              <w:left w:val="nil"/>
              <w:bottom w:val="single" w:sz="8" w:space="0" w:color="auto"/>
              <w:right w:val="single" w:sz="8" w:space="0" w:color="auto"/>
            </w:tcBorders>
            <w:shd w:val="clear" w:color="000000" w:fill="FFFFFF"/>
            <w:noWrap/>
            <w:vAlign w:val="center"/>
            <w:hideMark/>
          </w:tcPr>
          <w:p w14:paraId="4952720B"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10,386,697,761</w:t>
            </w:r>
          </w:p>
        </w:tc>
        <w:tc>
          <w:tcPr>
            <w:tcW w:w="2220" w:type="dxa"/>
            <w:tcBorders>
              <w:top w:val="nil"/>
              <w:left w:val="nil"/>
              <w:bottom w:val="single" w:sz="8" w:space="0" w:color="auto"/>
              <w:right w:val="single" w:sz="8" w:space="0" w:color="auto"/>
            </w:tcBorders>
            <w:shd w:val="clear" w:color="000000" w:fill="FFFFFF"/>
            <w:noWrap/>
            <w:vAlign w:val="center"/>
            <w:hideMark/>
          </w:tcPr>
          <w:p w14:paraId="7AEDEC4E" w14:textId="77777777" w:rsidR="004B2ED9" w:rsidRPr="004B2ED9" w:rsidRDefault="004B2ED9" w:rsidP="004B2ED9">
            <w:pPr>
              <w:jc w:val="right"/>
              <w:rPr>
                <w:rFonts w:eastAsia="Times New Roman" w:cs="Times New Roman"/>
                <w:color w:val="000000"/>
                <w:sz w:val="22"/>
                <w:szCs w:val="22"/>
                <w:lang w:val="es-MX"/>
              </w:rPr>
            </w:pPr>
            <w:r w:rsidRPr="004B2ED9">
              <w:rPr>
                <w:rFonts w:eastAsia="Times New Roman" w:cs="Times New Roman"/>
                <w:color w:val="000000"/>
                <w:sz w:val="22"/>
                <w:szCs w:val="22"/>
                <w:lang w:val="es-MX"/>
              </w:rPr>
              <w:t>8,695,760,481</w:t>
            </w:r>
          </w:p>
        </w:tc>
      </w:tr>
      <w:tr w:rsidR="004B2ED9" w:rsidRPr="004B2ED9" w14:paraId="0145883E"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5C01CA5D"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4BBD3357"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16,420,980,171</w:t>
            </w:r>
          </w:p>
        </w:tc>
        <w:tc>
          <w:tcPr>
            <w:tcW w:w="2220" w:type="dxa"/>
            <w:tcBorders>
              <w:top w:val="nil"/>
              <w:left w:val="nil"/>
              <w:bottom w:val="single" w:sz="8" w:space="0" w:color="auto"/>
              <w:right w:val="single" w:sz="8" w:space="0" w:color="auto"/>
            </w:tcBorders>
            <w:shd w:val="clear" w:color="000000" w:fill="FFFFFF"/>
            <w:noWrap/>
            <w:vAlign w:val="center"/>
            <w:hideMark/>
          </w:tcPr>
          <w:p w14:paraId="34677D7A" w14:textId="77777777" w:rsidR="004B2ED9" w:rsidRPr="004B2ED9" w:rsidRDefault="004B2ED9" w:rsidP="004B2ED9">
            <w:pPr>
              <w:jc w:val="right"/>
              <w:rPr>
                <w:rFonts w:eastAsia="Times New Roman" w:cs="Times New Roman"/>
                <w:b/>
                <w:bCs/>
                <w:color w:val="000000"/>
                <w:sz w:val="22"/>
                <w:szCs w:val="22"/>
                <w:lang w:val="es-MX"/>
              </w:rPr>
            </w:pPr>
            <w:r w:rsidRPr="004B2ED9">
              <w:rPr>
                <w:rFonts w:eastAsia="Times New Roman" w:cs="Times New Roman"/>
                <w:b/>
                <w:bCs/>
                <w:color w:val="000000"/>
                <w:sz w:val="22"/>
                <w:szCs w:val="22"/>
                <w:lang w:val="es-MX"/>
              </w:rPr>
              <w:t>14,019,712,266</w:t>
            </w:r>
          </w:p>
        </w:tc>
      </w:tr>
    </w:tbl>
    <w:p w14:paraId="0FCC0844" w14:textId="77777777" w:rsidR="00926C5C" w:rsidRPr="00192892" w:rsidRDefault="00926C5C" w:rsidP="00926C5C">
      <w:pPr>
        <w:widowControl w:val="0"/>
        <w:jc w:val="both"/>
        <w:rPr>
          <w:rFonts w:ascii="Montserrat" w:hAnsi="Montserrat"/>
          <w:sz w:val="22"/>
          <w:szCs w:val="22"/>
        </w:rPr>
      </w:pPr>
    </w:p>
    <w:p w14:paraId="58655D3F" w14:textId="73AD3606" w:rsidR="00926C5C" w:rsidRPr="00192892" w:rsidRDefault="00926C5C" w:rsidP="00C9363D">
      <w:pPr>
        <w:keepNext/>
        <w:rPr>
          <w:rFonts w:ascii="Montserrat" w:hAnsi="Montserrat"/>
          <w:b/>
          <w:sz w:val="22"/>
          <w:szCs w:val="22"/>
        </w:rPr>
      </w:pPr>
      <w:bookmarkStart w:id="22" w:name="_Hlk157392194"/>
      <w:r w:rsidRPr="00192892">
        <w:rPr>
          <w:rFonts w:ascii="Montserrat" w:hAnsi="Montserrat"/>
          <w:b/>
          <w:sz w:val="22"/>
          <w:szCs w:val="22"/>
        </w:rPr>
        <w:t xml:space="preserve">NOTAS AL ESTADO DE FLUJOS DE EFECTIVO </w:t>
      </w:r>
    </w:p>
    <w:p w14:paraId="43B7142D" w14:textId="77777777" w:rsidR="00926C5C" w:rsidRPr="00192892" w:rsidRDefault="00926C5C" w:rsidP="00C9363D">
      <w:pPr>
        <w:keepNext/>
        <w:rPr>
          <w:rFonts w:ascii="Montserrat" w:hAnsi="Montserrat"/>
          <w:b/>
          <w:sz w:val="22"/>
          <w:szCs w:val="22"/>
        </w:rPr>
      </w:pPr>
    </w:p>
    <w:p w14:paraId="618DD777"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20.- Estado de Flujos de Efectivo.</w:t>
      </w:r>
    </w:p>
    <w:p w14:paraId="198FD742" w14:textId="77777777" w:rsidR="00926C5C" w:rsidRPr="00192892" w:rsidRDefault="00926C5C" w:rsidP="00926C5C">
      <w:pPr>
        <w:widowControl w:val="0"/>
        <w:jc w:val="both"/>
        <w:rPr>
          <w:rFonts w:ascii="Montserrat" w:hAnsi="Montserrat"/>
          <w:sz w:val="22"/>
          <w:szCs w:val="22"/>
        </w:rPr>
      </w:pPr>
    </w:p>
    <w:bookmarkEnd w:id="22"/>
    <w:p w14:paraId="3E41CF73" w14:textId="4B244A7C" w:rsidR="00926C5C" w:rsidRPr="00192892" w:rsidRDefault="00926C5C" w:rsidP="00926C5C">
      <w:pPr>
        <w:widowControl w:val="0"/>
        <w:jc w:val="both"/>
        <w:rPr>
          <w:rFonts w:ascii="Montserrat" w:hAnsi="Montserrat"/>
          <w:sz w:val="22"/>
          <w:szCs w:val="22"/>
        </w:rPr>
      </w:pPr>
      <w:r w:rsidRPr="00192892">
        <w:rPr>
          <w:rFonts w:ascii="Montserrat" w:hAnsi="Montserrat"/>
          <w:sz w:val="22"/>
          <w:szCs w:val="22"/>
        </w:rPr>
        <w:t xml:space="preserve">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w:t>
      </w:r>
      <w:r w:rsidR="000C4895" w:rsidRPr="00192892">
        <w:rPr>
          <w:rFonts w:ascii="Montserrat" w:hAnsi="Montserrat"/>
          <w:sz w:val="22"/>
          <w:szCs w:val="22"/>
        </w:rPr>
        <w:t xml:space="preserve">al </w:t>
      </w:r>
      <w:r w:rsidR="000C4895">
        <w:rPr>
          <w:rFonts w:ascii="Montserrat" w:hAnsi="Montserrat"/>
          <w:sz w:val="22"/>
          <w:szCs w:val="22"/>
        </w:rPr>
        <w:t>31 de dic</w:t>
      </w:r>
      <w:r w:rsidR="000C4895" w:rsidRPr="00192892">
        <w:rPr>
          <w:rFonts w:ascii="Montserrat" w:hAnsi="Montserrat"/>
          <w:sz w:val="22"/>
          <w:szCs w:val="22"/>
        </w:rPr>
        <w:t>iembre de 2024 y 2023</w:t>
      </w:r>
      <w:r w:rsidRPr="00192892">
        <w:rPr>
          <w:rFonts w:ascii="Montserrat" w:hAnsi="Montserrat"/>
          <w:sz w:val="22"/>
          <w:szCs w:val="22"/>
        </w:rPr>
        <w:t>, mostrado de la siguiente manera:</w:t>
      </w:r>
    </w:p>
    <w:p w14:paraId="7DC04BC3" w14:textId="77777777" w:rsidR="00926C5C" w:rsidRPr="00192892" w:rsidRDefault="00926C5C" w:rsidP="00926C5C">
      <w:pPr>
        <w:widowControl w:val="0"/>
        <w:jc w:val="both"/>
        <w:rPr>
          <w:rFonts w:ascii="Montserrat" w:hAnsi="Montserrat"/>
          <w:sz w:val="22"/>
          <w:szCs w:val="22"/>
        </w:rPr>
      </w:pPr>
    </w:p>
    <w:p w14:paraId="552761A3" w14:textId="77777777" w:rsidR="00926C5C" w:rsidRPr="00192892" w:rsidRDefault="00926C5C" w:rsidP="00926C5C">
      <w:pPr>
        <w:pBdr>
          <w:top w:val="nil"/>
          <w:left w:val="nil"/>
          <w:bottom w:val="nil"/>
          <w:right w:val="nil"/>
          <w:between w:val="nil"/>
        </w:pBdr>
        <w:jc w:val="center"/>
        <w:rPr>
          <w:rFonts w:ascii="Montserrat" w:hAnsi="Montserrat"/>
          <w:color w:val="000000"/>
          <w:sz w:val="22"/>
          <w:szCs w:val="22"/>
        </w:rPr>
      </w:pPr>
      <w:bookmarkStart w:id="23" w:name="_Hlk157392310"/>
      <w:r w:rsidRPr="00192892">
        <w:rPr>
          <w:rFonts w:ascii="Montserrat" w:hAnsi="Montserrat"/>
          <w:b/>
          <w:color w:val="000000"/>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4B2ED9" w14:paraId="77161BF7" w14:textId="77777777" w:rsidTr="004B2ED9">
        <w:trPr>
          <w:trHeight w:val="330"/>
        </w:trPr>
        <w:tc>
          <w:tcPr>
            <w:tcW w:w="8940"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14:paraId="48BF89CB"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Efectivo y Equivalentes</w:t>
            </w:r>
          </w:p>
        </w:tc>
      </w:tr>
      <w:tr w:rsidR="004B2ED9" w:rsidRPr="004B2ED9" w14:paraId="43A54E8C" w14:textId="77777777" w:rsidTr="004B2ED9">
        <w:trPr>
          <w:trHeight w:val="330"/>
        </w:trPr>
        <w:tc>
          <w:tcPr>
            <w:tcW w:w="4480" w:type="dxa"/>
            <w:tcBorders>
              <w:top w:val="nil"/>
              <w:left w:val="single" w:sz="8" w:space="0" w:color="auto"/>
              <w:bottom w:val="single" w:sz="8" w:space="0" w:color="auto"/>
              <w:right w:val="single" w:sz="8" w:space="0" w:color="auto"/>
            </w:tcBorders>
            <w:shd w:val="clear" w:color="000000" w:fill="808080"/>
            <w:vAlign w:val="center"/>
            <w:hideMark/>
          </w:tcPr>
          <w:p w14:paraId="263BD02A"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2240" w:type="dxa"/>
            <w:tcBorders>
              <w:top w:val="nil"/>
              <w:left w:val="nil"/>
              <w:bottom w:val="single" w:sz="8" w:space="0" w:color="auto"/>
              <w:right w:val="single" w:sz="8" w:space="0" w:color="auto"/>
            </w:tcBorders>
            <w:shd w:val="clear" w:color="000000" w:fill="808080"/>
            <w:vAlign w:val="center"/>
            <w:hideMark/>
          </w:tcPr>
          <w:p w14:paraId="5FAD916E"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c>
          <w:tcPr>
            <w:tcW w:w="2220" w:type="dxa"/>
            <w:tcBorders>
              <w:top w:val="nil"/>
              <w:left w:val="nil"/>
              <w:bottom w:val="single" w:sz="8" w:space="0" w:color="auto"/>
              <w:right w:val="single" w:sz="8" w:space="0" w:color="auto"/>
            </w:tcBorders>
            <w:shd w:val="clear" w:color="000000" w:fill="808080"/>
            <w:vAlign w:val="center"/>
            <w:hideMark/>
          </w:tcPr>
          <w:p w14:paraId="20B10F51" w14:textId="77777777" w:rsidR="004B2ED9" w:rsidRPr="00EE0424" w:rsidRDefault="004B2ED9" w:rsidP="004B2ED9">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2023</w:t>
            </w:r>
          </w:p>
        </w:tc>
      </w:tr>
      <w:tr w:rsidR="004B2ED9" w:rsidRPr="004B2ED9" w14:paraId="4E55BE2A"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7C32C93"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Efectivo</w:t>
            </w:r>
          </w:p>
        </w:tc>
        <w:tc>
          <w:tcPr>
            <w:tcW w:w="2240" w:type="dxa"/>
            <w:tcBorders>
              <w:top w:val="nil"/>
              <w:left w:val="nil"/>
              <w:bottom w:val="single" w:sz="8" w:space="0" w:color="auto"/>
              <w:right w:val="single" w:sz="8" w:space="0" w:color="auto"/>
            </w:tcBorders>
            <w:shd w:val="clear" w:color="auto" w:fill="auto"/>
            <w:vAlign w:val="center"/>
            <w:hideMark/>
          </w:tcPr>
          <w:p w14:paraId="5591C377"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306,601</w:t>
            </w:r>
          </w:p>
        </w:tc>
        <w:tc>
          <w:tcPr>
            <w:tcW w:w="2220" w:type="dxa"/>
            <w:tcBorders>
              <w:top w:val="nil"/>
              <w:left w:val="nil"/>
              <w:bottom w:val="single" w:sz="8" w:space="0" w:color="auto"/>
              <w:right w:val="single" w:sz="8" w:space="0" w:color="auto"/>
            </w:tcBorders>
            <w:shd w:val="clear" w:color="auto" w:fill="auto"/>
            <w:vAlign w:val="center"/>
            <w:hideMark/>
          </w:tcPr>
          <w:p w14:paraId="540491AF"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306,601</w:t>
            </w:r>
          </w:p>
        </w:tc>
      </w:tr>
      <w:tr w:rsidR="004B2ED9" w:rsidRPr="004B2ED9" w14:paraId="0027CE2C"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4A6D380F"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Bancos/Tesorería</w:t>
            </w:r>
          </w:p>
        </w:tc>
        <w:tc>
          <w:tcPr>
            <w:tcW w:w="2240" w:type="dxa"/>
            <w:tcBorders>
              <w:top w:val="nil"/>
              <w:left w:val="nil"/>
              <w:bottom w:val="single" w:sz="8" w:space="0" w:color="auto"/>
              <w:right w:val="single" w:sz="8" w:space="0" w:color="auto"/>
            </w:tcBorders>
            <w:shd w:val="clear" w:color="auto" w:fill="auto"/>
            <w:vAlign w:val="center"/>
            <w:hideMark/>
          </w:tcPr>
          <w:p w14:paraId="5B0C7961"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4,013,869,395</w:t>
            </w:r>
          </w:p>
        </w:tc>
        <w:tc>
          <w:tcPr>
            <w:tcW w:w="2220" w:type="dxa"/>
            <w:tcBorders>
              <w:top w:val="nil"/>
              <w:left w:val="nil"/>
              <w:bottom w:val="single" w:sz="8" w:space="0" w:color="auto"/>
              <w:right w:val="single" w:sz="8" w:space="0" w:color="auto"/>
            </w:tcBorders>
            <w:shd w:val="clear" w:color="auto" w:fill="auto"/>
            <w:vAlign w:val="center"/>
            <w:hideMark/>
          </w:tcPr>
          <w:p w14:paraId="08996797"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3,908,835,048</w:t>
            </w:r>
          </w:p>
        </w:tc>
      </w:tr>
      <w:tr w:rsidR="004B2ED9" w:rsidRPr="004B2ED9" w14:paraId="6E70785B"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21D17F3"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Bancos/Dependencias y Otros</w:t>
            </w:r>
          </w:p>
        </w:tc>
        <w:tc>
          <w:tcPr>
            <w:tcW w:w="2240" w:type="dxa"/>
            <w:tcBorders>
              <w:top w:val="nil"/>
              <w:left w:val="nil"/>
              <w:bottom w:val="single" w:sz="8" w:space="0" w:color="auto"/>
              <w:right w:val="single" w:sz="8" w:space="0" w:color="auto"/>
            </w:tcBorders>
            <w:shd w:val="clear" w:color="auto" w:fill="auto"/>
            <w:vAlign w:val="center"/>
            <w:hideMark/>
          </w:tcPr>
          <w:p w14:paraId="012C6DF8"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308,758,891</w:t>
            </w:r>
          </w:p>
        </w:tc>
        <w:tc>
          <w:tcPr>
            <w:tcW w:w="2220" w:type="dxa"/>
            <w:tcBorders>
              <w:top w:val="nil"/>
              <w:left w:val="nil"/>
              <w:bottom w:val="single" w:sz="8" w:space="0" w:color="auto"/>
              <w:right w:val="single" w:sz="8" w:space="0" w:color="auto"/>
            </w:tcBorders>
            <w:shd w:val="clear" w:color="auto" w:fill="auto"/>
            <w:vAlign w:val="center"/>
            <w:hideMark/>
          </w:tcPr>
          <w:p w14:paraId="208376C7"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617,789,818</w:t>
            </w:r>
          </w:p>
        </w:tc>
      </w:tr>
      <w:tr w:rsidR="004B2ED9" w:rsidRPr="004B2ED9" w14:paraId="3A3176FF"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6BC61E30"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 xml:space="preserve">Inversiones Temporales (Hasta 3 meses) </w:t>
            </w:r>
          </w:p>
        </w:tc>
        <w:tc>
          <w:tcPr>
            <w:tcW w:w="2240" w:type="dxa"/>
            <w:tcBorders>
              <w:top w:val="nil"/>
              <w:left w:val="nil"/>
              <w:bottom w:val="single" w:sz="8" w:space="0" w:color="auto"/>
              <w:right w:val="single" w:sz="8" w:space="0" w:color="auto"/>
            </w:tcBorders>
            <w:shd w:val="clear" w:color="auto" w:fill="auto"/>
            <w:vAlign w:val="center"/>
            <w:hideMark/>
          </w:tcPr>
          <w:p w14:paraId="2A80FD44"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3,157,286,962</w:t>
            </w:r>
          </w:p>
        </w:tc>
        <w:tc>
          <w:tcPr>
            <w:tcW w:w="2220" w:type="dxa"/>
            <w:tcBorders>
              <w:top w:val="nil"/>
              <w:left w:val="nil"/>
              <w:bottom w:val="single" w:sz="8" w:space="0" w:color="auto"/>
              <w:right w:val="single" w:sz="8" w:space="0" w:color="auto"/>
            </w:tcBorders>
            <w:shd w:val="clear" w:color="auto" w:fill="auto"/>
            <w:vAlign w:val="center"/>
            <w:hideMark/>
          </w:tcPr>
          <w:p w14:paraId="3180EDD9"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3,033,899,207</w:t>
            </w:r>
          </w:p>
        </w:tc>
      </w:tr>
      <w:tr w:rsidR="004B2ED9" w:rsidRPr="004B2ED9" w14:paraId="39B5A3CD" w14:textId="77777777" w:rsidTr="000C4895">
        <w:trPr>
          <w:trHeight w:val="330"/>
        </w:trPr>
        <w:tc>
          <w:tcPr>
            <w:tcW w:w="4480" w:type="dxa"/>
            <w:tcBorders>
              <w:top w:val="nil"/>
              <w:left w:val="single" w:sz="8" w:space="0" w:color="auto"/>
              <w:bottom w:val="single" w:sz="4" w:space="0" w:color="auto"/>
              <w:right w:val="single" w:sz="8" w:space="0" w:color="auto"/>
            </w:tcBorders>
            <w:shd w:val="clear" w:color="auto" w:fill="auto"/>
            <w:vAlign w:val="center"/>
            <w:hideMark/>
          </w:tcPr>
          <w:p w14:paraId="16AEF453"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Fondos con Afectación Específica</w:t>
            </w:r>
          </w:p>
        </w:tc>
        <w:tc>
          <w:tcPr>
            <w:tcW w:w="2240" w:type="dxa"/>
            <w:tcBorders>
              <w:top w:val="nil"/>
              <w:left w:val="nil"/>
              <w:bottom w:val="single" w:sz="4" w:space="0" w:color="auto"/>
              <w:right w:val="single" w:sz="8" w:space="0" w:color="auto"/>
            </w:tcBorders>
            <w:shd w:val="clear" w:color="auto" w:fill="auto"/>
            <w:vAlign w:val="center"/>
            <w:hideMark/>
          </w:tcPr>
          <w:p w14:paraId="50DFC5E7"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0</w:t>
            </w:r>
          </w:p>
        </w:tc>
        <w:tc>
          <w:tcPr>
            <w:tcW w:w="2220" w:type="dxa"/>
            <w:tcBorders>
              <w:top w:val="nil"/>
              <w:left w:val="nil"/>
              <w:bottom w:val="single" w:sz="4" w:space="0" w:color="auto"/>
              <w:right w:val="single" w:sz="8" w:space="0" w:color="auto"/>
            </w:tcBorders>
            <w:shd w:val="clear" w:color="auto" w:fill="auto"/>
            <w:vAlign w:val="center"/>
            <w:hideMark/>
          </w:tcPr>
          <w:p w14:paraId="33B82023"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0</w:t>
            </w:r>
          </w:p>
        </w:tc>
      </w:tr>
      <w:tr w:rsidR="004B2ED9" w:rsidRPr="004B2ED9" w14:paraId="57A8137D" w14:textId="77777777" w:rsidTr="000C4895">
        <w:trPr>
          <w:trHeight w:val="645"/>
        </w:trPr>
        <w:tc>
          <w:tcPr>
            <w:tcW w:w="448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859B516"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Depósitos de Fondos de Terceros en Garantía y/o Administración</w:t>
            </w:r>
          </w:p>
        </w:tc>
        <w:tc>
          <w:tcPr>
            <w:tcW w:w="2240" w:type="dxa"/>
            <w:tcBorders>
              <w:top w:val="single" w:sz="4" w:space="0" w:color="auto"/>
              <w:left w:val="nil"/>
              <w:bottom w:val="single" w:sz="8" w:space="0" w:color="auto"/>
              <w:right w:val="single" w:sz="8" w:space="0" w:color="auto"/>
            </w:tcBorders>
            <w:shd w:val="clear" w:color="auto" w:fill="auto"/>
            <w:vAlign w:val="center"/>
            <w:hideMark/>
          </w:tcPr>
          <w:p w14:paraId="7484B6A6"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0</w:t>
            </w:r>
          </w:p>
        </w:tc>
        <w:tc>
          <w:tcPr>
            <w:tcW w:w="2220" w:type="dxa"/>
            <w:tcBorders>
              <w:top w:val="single" w:sz="4" w:space="0" w:color="auto"/>
              <w:left w:val="nil"/>
              <w:bottom w:val="single" w:sz="8" w:space="0" w:color="auto"/>
              <w:right w:val="single" w:sz="8" w:space="0" w:color="auto"/>
            </w:tcBorders>
            <w:shd w:val="clear" w:color="auto" w:fill="auto"/>
            <w:vAlign w:val="center"/>
            <w:hideMark/>
          </w:tcPr>
          <w:p w14:paraId="225FFE36"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0</w:t>
            </w:r>
          </w:p>
        </w:tc>
      </w:tr>
      <w:tr w:rsidR="004B2ED9" w:rsidRPr="004B2ED9" w14:paraId="1285D71A"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66009340" w14:textId="77777777" w:rsidR="004B2ED9" w:rsidRPr="004B2ED9" w:rsidRDefault="004B2ED9" w:rsidP="004B2ED9">
            <w:pPr>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Otros Efectivos y Equivalentes</w:t>
            </w:r>
          </w:p>
        </w:tc>
        <w:tc>
          <w:tcPr>
            <w:tcW w:w="2240" w:type="dxa"/>
            <w:tcBorders>
              <w:top w:val="nil"/>
              <w:left w:val="nil"/>
              <w:bottom w:val="single" w:sz="8" w:space="0" w:color="auto"/>
              <w:right w:val="single" w:sz="8" w:space="0" w:color="auto"/>
            </w:tcBorders>
            <w:shd w:val="clear" w:color="auto" w:fill="auto"/>
            <w:vAlign w:val="center"/>
            <w:hideMark/>
          </w:tcPr>
          <w:p w14:paraId="3F1DED38"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0</w:t>
            </w:r>
          </w:p>
        </w:tc>
        <w:tc>
          <w:tcPr>
            <w:tcW w:w="2220" w:type="dxa"/>
            <w:tcBorders>
              <w:top w:val="nil"/>
              <w:left w:val="nil"/>
              <w:bottom w:val="single" w:sz="8" w:space="0" w:color="auto"/>
              <w:right w:val="single" w:sz="8" w:space="0" w:color="auto"/>
            </w:tcBorders>
            <w:shd w:val="clear" w:color="auto" w:fill="auto"/>
            <w:vAlign w:val="center"/>
            <w:hideMark/>
          </w:tcPr>
          <w:p w14:paraId="7A22578E" w14:textId="77777777" w:rsidR="004B2ED9" w:rsidRPr="004B2ED9" w:rsidRDefault="004B2ED9" w:rsidP="004B2ED9">
            <w:pPr>
              <w:jc w:val="right"/>
              <w:rPr>
                <w:rFonts w:ascii="Times New Roman" w:eastAsia="Times New Roman" w:hAnsi="Times New Roman" w:cs="Times New Roman"/>
                <w:color w:val="000000"/>
                <w:lang w:val="es-MX"/>
              </w:rPr>
            </w:pPr>
            <w:r w:rsidRPr="004B2ED9">
              <w:rPr>
                <w:rFonts w:ascii="Times New Roman" w:eastAsia="Times New Roman" w:hAnsi="Times New Roman" w:cs="Times New Roman"/>
                <w:color w:val="000000"/>
                <w:lang w:val="es-MX"/>
              </w:rPr>
              <w:t>0</w:t>
            </w:r>
          </w:p>
        </w:tc>
      </w:tr>
      <w:tr w:rsidR="004B2ED9" w:rsidRPr="004B2ED9" w14:paraId="456ACE40" w14:textId="77777777" w:rsidTr="0046353B">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399C54E" w14:textId="77777777" w:rsidR="004B2ED9" w:rsidRPr="0046353B" w:rsidRDefault="004B2ED9" w:rsidP="004B2ED9">
            <w:pPr>
              <w:jc w:val="right"/>
              <w:rPr>
                <w:rFonts w:eastAsia="Times New Roman" w:cs="Times New Roman"/>
                <w:b/>
                <w:bCs/>
                <w:color w:val="000000"/>
                <w:sz w:val="22"/>
                <w:szCs w:val="22"/>
                <w:lang w:val="es-MX"/>
              </w:rPr>
            </w:pPr>
            <w:r w:rsidRPr="0046353B">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auto" w:fill="auto"/>
            <w:vAlign w:val="center"/>
            <w:hideMark/>
          </w:tcPr>
          <w:p w14:paraId="2D331867" w14:textId="77777777" w:rsidR="004B2ED9" w:rsidRPr="0046353B" w:rsidRDefault="004B2ED9" w:rsidP="004B2ED9">
            <w:pPr>
              <w:jc w:val="right"/>
              <w:rPr>
                <w:rFonts w:eastAsia="Times New Roman" w:cs="Times New Roman"/>
                <w:b/>
                <w:bCs/>
                <w:color w:val="000000"/>
                <w:sz w:val="22"/>
                <w:szCs w:val="22"/>
                <w:lang w:val="es-MX"/>
              </w:rPr>
            </w:pPr>
            <w:r w:rsidRPr="0046353B">
              <w:rPr>
                <w:rFonts w:eastAsia="Times New Roman" w:cs="Times New Roman"/>
                <w:b/>
                <w:bCs/>
                <w:color w:val="000000"/>
                <w:sz w:val="22"/>
                <w:szCs w:val="22"/>
                <w:lang w:val="es-MX"/>
              </w:rPr>
              <w:t>7,480,221,848</w:t>
            </w:r>
          </w:p>
        </w:tc>
        <w:tc>
          <w:tcPr>
            <w:tcW w:w="2220" w:type="dxa"/>
            <w:tcBorders>
              <w:top w:val="nil"/>
              <w:left w:val="nil"/>
              <w:bottom w:val="single" w:sz="8" w:space="0" w:color="auto"/>
              <w:right w:val="single" w:sz="8" w:space="0" w:color="auto"/>
            </w:tcBorders>
            <w:shd w:val="clear" w:color="auto" w:fill="auto"/>
            <w:vAlign w:val="center"/>
            <w:hideMark/>
          </w:tcPr>
          <w:p w14:paraId="1C3C03CF" w14:textId="77777777" w:rsidR="004B2ED9" w:rsidRPr="0046353B" w:rsidRDefault="004B2ED9" w:rsidP="004B2ED9">
            <w:pPr>
              <w:jc w:val="right"/>
              <w:rPr>
                <w:rFonts w:eastAsia="Times New Roman" w:cs="Times New Roman"/>
                <w:b/>
                <w:bCs/>
                <w:color w:val="000000"/>
                <w:sz w:val="22"/>
                <w:szCs w:val="22"/>
                <w:lang w:val="es-MX"/>
              </w:rPr>
            </w:pPr>
            <w:r w:rsidRPr="0046353B">
              <w:rPr>
                <w:rFonts w:eastAsia="Times New Roman" w:cs="Times New Roman"/>
                <w:b/>
                <w:bCs/>
                <w:color w:val="000000"/>
                <w:sz w:val="22"/>
                <w:szCs w:val="22"/>
                <w:lang w:val="es-MX"/>
              </w:rPr>
              <w:t>7,560,830,673</w:t>
            </w:r>
          </w:p>
        </w:tc>
      </w:tr>
    </w:tbl>
    <w:p w14:paraId="7F4F8846" w14:textId="77777777" w:rsidR="00926C5C" w:rsidRPr="00192892" w:rsidRDefault="00926C5C" w:rsidP="00926C5C">
      <w:pPr>
        <w:rPr>
          <w:rFonts w:ascii="Montserrat" w:hAnsi="Montserrat"/>
          <w:b/>
          <w:sz w:val="22"/>
          <w:szCs w:val="22"/>
        </w:rPr>
      </w:pPr>
    </w:p>
    <w:bookmarkEnd w:id="23"/>
    <w:p w14:paraId="69F523CA" w14:textId="5B7ACD3A" w:rsidR="006F04B3" w:rsidRDefault="006F04B3">
      <w:pPr>
        <w:rPr>
          <w:rFonts w:ascii="Montserrat" w:hAnsi="Montserrat"/>
          <w:sz w:val="22"/>
          <w:szCs w:val="22"/>
        </w:rPr>
      </w:pPr>
      <w:r>
        <w:rPr>
          <w:rFonts w:ascii="Montserrat" w:hAnsi="Montserrat"/>
          <w:sz w:val="22"/>
          <w:szCs w:val="22"/>
        </w:rPr>
        <w:br w:type="page"/>
      </w:r>
    </w:p>
    <w:p w14:paraId="112001D1" w14:textId="77777777" w:rsidR="000C4895" w:rsidRDefault="000C4895" w:rsidP="009A021D">
      <w:pPr>
        <w:rPr>
          <w:rFonts w:ascii="Montserrat" w:hAnsi="Montserrat"/>
          <w:sz w:val="22"/>
          <w:szCs w:val="22"/>
        </w:rPr>
      </w:pPr>
    </w:p>
    <w:p w14:paraId="49BD2CB9" w14:textId="77777777" w:rsidR="009A021D" w:rsidRPr="00192892" w:rsidRDefault="009A021D" w:rsidP="009A021D">
      <w:pPr>
        <w:jc w:val="center"/>
        <w:rPr>
          <w:rFonts w:ascii="Montserrat" w:hAnsi="Montserrat"/>
          <w:b/>
          <w:sz w:val="22"/>
          <w:szCs w:val="22"/>
        </w:rPr>
      </w:pPr>
      <w:r w:rsidRPr="00192892">
        <w:rPr>
          <w:rFonts w:ascii="Montserrat" w:hAnsi="Montserrat"/>
          <w:b/>
          <w:sz w:val="22"/>
          <w:szCs w:val="22"/>
        </w:rPr>
        <w:t>NOTAS DE MEMORIA</w:t>
      </w:r>
    </w:p>
    <w:p w14:paraId="7969A17A" w14:textId="77777777" w:rsidR="009A021D" w:rsidRPr="00192892" w:rsidRDefault="009A021D" w:rsidP="009A021D">
      <w:pPr>
        <w:rPr>
          <w:rFonts w:ascii="Montserrat" w:hAnsi="Montserrat"/>
          <w:bCs/>
          <w:sz w:val="22"/>
          <w:szCs w:val="22"/>
          <w:lang w:val="es-MX"/>
        </w:rPr>
      </w:pPr>
    </w:p>
    <w:p w14:paraId="05EF7A67" w14:textId="77777777" w:rsidR="009A021D" w:rsidRPr="00192892" w:rsidRDefault="009A021D" w:rsidP="009A021D">
      <w:pPr>
        <w:jc w:val="both"/>
        <w:rPr>
          <w:rFonts w:ascii="Montserrat" w:eastAsia="Times New Roman" w:hAnsi="Montserrat" w:cs="Arial"/>
          <w:sz w:val="22"/>
          <w:szCs w:val="22"/>
        </w:rPr>
      </w:pPr>
      <w:r w:rsidRPr="00192892">
        <w:rPr>
          <w:rFonts w:ascii="Montserrat" w:eastAsia="Times New Roman" w:hAnsi="Montserrat" w:cs="Arial"/>
          <w:sz w:val="22"/>
          <w:szCs w:val="22"/>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4F3778B7" w14:textId="13F256F1" w:rsidR="005F14C8" w:rsidRDefault="005F14C8">
      <w:pPr>
        <w:rPr>
          <w:rFonts w:ascii="Montserrat" w:hAnsi="Montserrat"/>
          <w:bCs/>
          <w:sz w:val="22"/>
          <w:szCs w:val="22"/>
          <w:lang w:val="es-MX"/>
        </w:rPr>
      </w:pPr>
    </w:p>
    <w:p w14:paraId="07437C94" w14:textId="77777777" w:rsidR="009A021D" w:rsidRPr="00192892" w:rsidRDefault="009A021D" w:rsidP="009A021D">
      <w:pPr>
        <w:rPr>
          <w:rFonts w:ascii="Montserrat" w:hAnsi="Montserrat"/>
          <w:bCs/>
          <w:sz w:val="22"/>
          <w:szCs w:val="22"/>
          <w:lang w:val="es-MX"/>
        </w:rPr>
      </w:pPr>
    </w:p>
    <w:tbl>
      <w:tblPr>
        <w:tblW w:w="8856" w:type="dxa"/>
        <w:tblInd w:w="70" w:type="dxa"/>
        <w:tblCellMar>
          <w:left w:w="70" w:type="dxa"/>
          <w:right w:w="70" w:type="dxa"/>
        </w:tblCellMar>
        <w:tblLook w:val="04A0" w:firstRow="1" w:lastRow="0" w:firstColumn="1" w:lastColumn="0" w:noHBand="0" w:noVBand="1"/>
      </w:tblPr>
      <w:tblGrid>
        <w:gridCol w:w="1418"/>
        <w:gridCol w:w="4536"/>
        <w:gridCol w:w="2902"/>
      </w:tblGrid>
      <w:tr w:rsidR="00FD2DE6" w:rsidRPr="00192892" w14:paraId="75CDC878" w14:textId="77777777" w:rsidTr="004B3002">
        <w:trPr>
          <w:trHeight w:val="226"/>
        </w:trPr>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E1EE045" w14:textId="77777777" w:rsidR="009A021D" w:rsidRPr="00EE0424" w:rsidRDefault="009A021D" w:rsidP="009A021D">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CUENTA</w:t>
            </w:r>
          </w:p>
        </w:tc>
        <w:tc>
          <w:tcPr>
            <w:tcW w:w="4536" w:type="dxa"/>
            <w:tcBorders>
              <w:top w:val="single" w:sz="4" w:space="0" w:color="auto"/>
              <w:left w:val="nil"/>
              <w:bottom w:val="single" w:sz="4" w:space="0" w:color="auto"/>
              <w:right w:val="single" w:sz="4" w:space="0" w:color="auto"/>
            </w:tcBorders>
            <w:shd w:val="clear" w:color="auto" w:fill="808080" w:themeFill="background1" w:themeFillShade="80"/>
            <w:vAlign w:val="bottom"/>
            <w:hideMark/>
          </w:tcPr>
          <w:p w14:paraId="218E7E1A" w14:textId="77777777" w:rsidR="009A021D" w:rsidRPr="00EE0424" w:rsidRDefault="009A021D" w:rsidP="009A021D">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DESCRIPCIÓN</w:t>
            </w:r>
          </w:p>
        </w:tc>
        <w:tc>
          <w:tcPr>
            <w:tcW w:w="2902" w:type="dxa"/>
            <w:tcBorders>
              <w:top w:val="single" w:sz="4" w:space="0" w:color="auto"/>
              <w:left w:val="nil"/>
              <w:bottom w:val="single" w:sz="4" w:space="0" w:color="auto"/>
              <w:right w:val="single" w:sz="4" w:space="0" w:color="auto"/>
            </w:tcBorders>
            <w:shd w:val="clear" w:color="auto" w:fill="808080" w:themeFill="background1" w:themeFillShade="80"/>
            <w:vAlign w:val="bottom"/>
            <w:hideMark/>
          </w:tcPr>
          <w:p w14:paraId="72886669" w14:textId="77777777" w:rsidR="009A021D" w:rsidRPr="00EE0424" w:rsidRDefault="009A021D" w:rsidP="009A021D">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DEBE</w:t>
            </w:r>
          </w:p>
        </w:tc>
      </w:tr>
      <w:tr w:rsidR="00FD2DE6" w:rsidRPr="001B23EE" w14:paraId="388D324D" w14:textId="77777777" w:rsidTr="001B23EE">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90AD62" w14:textId="509C9A44" w:rsidR="009A021D" w:rsidRPr="00192892" w:rsidRDefault="005843C6" w:rsidP="009A021D">
            <w:pPr>
              <w:jc w:val="center"/>
              <w:rPr>
                <w:rFonts w:ascii="Montserrat" w:hAnsi="Montserrat" w:cs="Calibri"/>
                <w:bCs/>
                <w:sz w:val="22"/>
                <w:szCs w:val="22"/>
              </w:rPr>
            </w:pPr>
            <w:r w:rsidRPr="001B23EE">
              <w:rPr>
                <w:rFonts w:ascii="Montserrat" w:hAnsi="Montserrat" w:cs="Calibri"/>
                <w:bCs/>
                <w:sz w:val="22"/>
                <w:szCs w:val="22"/>
              </w:rPr>
              <w:t>7.4.1.0</w:t>
            </w:r>
          </w:p>
        </w:tc>
        <w:tc>
          <w:tcPr>
            <w:tcW w:w="4536" w:type="dxa"/>
            <w:tcBorders>
              <w:top w:val="single" w:sz="4" w:space="0" w:color="auto"/>
              <w:left w:val="nil"/>
              <w:bottom w:val="single" w:sz="4" w:space="0" w:color="auto"/>
              <w:right w:val="single" w:sz="4" w:space="0" w:color="auto"/>
            </w:tcBorders>
            <w:shd w:val="clear" w:color="auto" w:fill="auto"/>
            <w:vAlign w:val="center"/>
          </w:tcPr>
          <w:p w14:paraId="33588A4E" w14:textId="36250C69" w:rsidR="009A021D" w:rsidRPr="00192892" w:rsidRDefault="005843C6" w:rsidP="009A021D">
            <w:pPr>
              <w:rPr>
                <w:rFonts w:ascii="Montserrat" w:hAnsi="Montserrat"/>
                <w:bCs/>
                <w:sz w:val="22"/>
                <w:szCs w:val="22"/>
                <w:lang w:val="es-MX"/>
              </w:rPr>
            </w:pPr>
            <w:r w:rsidRPr="001B23EE">
              <w:rPr>
                <w:rFonts w:ascii="Montserrat" w:hAnsi="Montserrat"/>
                <w:bCs/>
                <w:sz w:val="22"/>
                <w:szCs w:val="22"/>
                <w:lang w:val="es-MX"/>
              </w:rPr>
              <w:t>Demandas Judiciales en Proceso de Resolución</w:t>
            </w:r>
          </w:p>
        </w:tc>
        <w:tc>
          <w:tcPr>
            <w:tcW w:w="2902" w:type="dxa"/>
            <w:tcBorders>
              <w:top w:val="single" w:sz="4" w:space="0" w:color="auto"/>
              <w:left w:val="nil"/>
              <w:bottom w:val="single" w:sz="4" w:space="0" w:color="auto"/>
              <w:right w:val="single" w:sz="4" w:space="0" w:color="auto"/>
            </w:tcBorders>
            <w:shd w:val="clear" w:color="auto" w:fill="auto"/>
            <w:vAlign w:val="center"/>
          </w:tcPr>
          <w:p w14:paraId="66BE95FF" w14:textId="6D238E70" w:rsidR="009A021D" w:rsidRPr="001B23EE" w:rsidRDefault="001B23EE" w:rsidP="00A11567">
            <w:pPr>
              <w:jc w:val="right"/>
              <w:rPr>
                <w:rFonts w:ascii="Montserrat" w:hAnsi="Montserrat"/>
                <w:bCs/>
                <w:sz w:val="22"/>
                <w:szCs w:val="22"/>
                <w:lang w:val="es-MX"/>
              </w:rPr>
            </w:pPr>
            <w:r w:rsidRPr="001B23EE">
              <w:rPr>
                <w:rFonts w:ascii="Montserrat" w:hAnsi="Montserrat"/>
                <w:bCs/>
                <w:sz w:val="22"/>
                <w:szCs w:val="22"/>
                <w:lang w:val="es-MX"/>
              </w:rPr>
              <w:t>2,417,023.36</w:t>
            </w:r>
          </w:p>
        </w:tc>
      </w:tr>
      <w:tr w:rsidR="001B23EE" w:rsidRPr="001B23EE" w14:paraId="7274DC3F" w14:textId="77777777" w:rsidTr="007750B8">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938FFD" w14:textId="7F08B99B" w:rsidR="001B23EE" w:rsidRPr="00192892" w:rsidRDefault="001B23EE" w:rsidP="001B23EE">
            <w:pPr>
              <w:jc w:val="center"/>
              <w:rPr>
                <w:rFonts w:ascii="Montserrat" w:hAnsi="Montserrat" w:cs="Calibri"/>
                <w:bCs/>
                <w:sz w:val="22"/>
                <w:szCs w:val="22"/>
              </w:rPr>
            </w:pPr>
            <w:r w:rsidRPr="00192892">
              <w:rPr>
                <w:rFonts w:ascii="Montserrat" w:hAnsi="Montserrat" w:cs="Calibri"/>
                <w:bCs/>
                <w:sz w:val="22"/>
                <w:szCs w:val="22"/>
              </w:rPr>
              <w:t>7.7.2.3</w:t>
            </w:r>
          </w:p>
        </w:tc>
        <w:tc>
          <w:tcPr>
            <w:tcW w:w="4536" w:type="dxa"/>
            <w:tcBorders>
              <w:top w:val="single" w:sz="4" w:space="0" w:color="auto"/>
              <w:left w:val="nil"/>
              <w:bottom w:val="single" w:sz="4" w:space="0" w:color="auto"/>
              <w:right w:val="single" w:sz="4" w:space="0" w:color="auto"/>
            </w:tcBorders>
            <w:shd w:val="clear" w:color="auto" w:fill="auto"/>
            <w:vAlign w:val="center"/>
          </w:tcPr>
          <w:p w14:paraId="1207B4F4" w14:textId="0CC57549" w:rsidR="001B23EE" w:rsidRPr="00192892" w:rsidRDefault="001B23EE" w:rsidP="001B23EE">
            <w:pPr>
              <w:rPr>
                <w:rFonts w:ascii="Montserrat" w:hAnsi="Montserrat"/>
                <w:bCs/>
                <w:sz w:val="22"/>
                <w:szCs w:val="22"/>
                <w:lang w:val="es-MX"/>
              </w:rPr>
            </w:pPr>
            <w:r w:rsidRPr="00192892">
              <w:rPr>
                <w:rFonts w:ascii="Montserrat" w:hAnsi="Montserrat"/>
                <w:bCs/>
                <w:sz w:val="22"/>
                <w:szCs w:val="22"/>
                <w:lang w:val="es-MX"/>
              </w:rPr>
              <w:t>Deuda Pública Municipal</w:t>
            </w:r>
          </w:p>
        </w:tc>
        <w:tc>
          <w:tcPr>
            <w:tcW w:w="2902" w:type="dxa"/>
            <w:tcBorders>
              <w:top w:val="single" w:sz="4" w:space="0" w:color="auto"/>
              <w:left w:val="nil"/>
              <w:bottom w:val="single" w:sz="4" w:space="0" w:color="auto"/>
              <w:right w:val="single" w:sz="4" w:space="0" w:color="auto"/>
            </w:tcBorders>
            <w:shd w:val="clear" w:color="auto" w:fill="auto"/>
            <w:vAlign w:val="center"/>
          </w:tcPr>
          <w:p w14:paraId="4CB5B886" w14:textId="0E311C4F" w:rsidR="001B23EE" w:rsidRPr="001B23EE" w:rsidRDefault="001B23EE" w:rsidP="001B23EE">
            <w:pPr>
              <w:jc w:val="right"/>
              <w:rPr>
                <w:rFonts w:ascii="Montserrat" w:hAnsi="Montserrat"/>
                <w:bCs/>
                <w:sz w:val="22"/>
                <w:szCs w:val="22"/>
                <w:lang w:val="es-MX"/>
              </w:rPr>
            </w:pPr>
            <w:r w:rsidRPr="001B23EE">
              <w:rPr>
                <w:rFonts w:ascii="Montserrat" w:hAnsi="Montserrat"/>
                <w:bCs/>
                <w:sz w:val="22"/>
                <w:szCs w:val="22"/>
                <w:lang w:val="es-MX"/>
              </w:rPr>
              <w:t>36,945,620.20</w:t>
            </w:r>
          </w:p>
        </w:tc>
      </w:tr>
      <w:tr w:rsidR="00FD2DE6" w:rsidRPr="00192892" w14:paraId="3FAB0A5C" w14:textId="77777777" w:rsidTr="007750B8">
        <w:trPr>
          <w:trHeight w:val="3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F8592" w14:textId="77777777" w:rsidR="009A021D" w:rsidRPr="00192892" w:rsidRDefault="009A021D" w:rsidP="009A021D">
            <w:pPr>
              <w:jc w:val="center"/>
              <w:rPr>
                <w:rFonts w:ascii="Montserrat" w:hAnsi="Montserrat" w:cs="Calibri"/>
                <w:bCs/>
                <w:sz w:val="22"/>
                <w:szCs w:val="22"/>
              </w:rPr>
            </w:pPr>
            <w:r w:rsidRPr="00192892">
              <w:rPr>
                <w:rFonts w:ascii="Montserrat" w:hAnsi="Montserrat" w:cs="Calibri"/>
                <w:bCs/>
                <w:sz w:val="22"/>
                <w:szCs w:val="22"/>
              </w:rPr>
              <w:t>7.7.4.1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3440477" w14:textId="77777777" w:rsidR="009A021D" w:rsidRPr="00192892" w:rsidRDefault="009A021D" w:rsidP="009A021D">
            <w:pPr>
              <w:rPr>
                <w:rFonts w:ascii="Montserrat" w:hAnsi="Montserrat"/>
                <w:bCs/>
                <w:sz w:val="22"/>
                <w:szCs w:val="22"/>
                <w:lang w:val="es-MX"/>
              </w:rPr>
            </w:pPr>
            <w:r w:rsidRPr="00192892">
              <w:rPr>
                <w:rFonts w:ascii="Montserrat" w:hAnsi="Montserrat"/>
                <w:bCs/>
                <w:sz w:val="22"/>
                <w:szCs w:val="22"/>
                <w:lang w:val="es-MX"/>
              </w:rPr>
              <w:t>Créditos fiscales por recuperar estatal y federal</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636BF536" w14:textId="15D3055B" w:rsidR="009A021D" w:rsidRPr="001B23EE" w:rsidRDefault="004B3592" w:rsidP="00A11567">
            <w:pPr>
              <w:jc w:val="right"/>
              <w:rPr>
                <w:rFonts w:ascii="Montserrat" w:hAnsi="Montserrat"/>
                <w:bCs/>
                <w:sz w:val="22"/>
                <w:szCs w:val="22"/>
                <w:lang w:val="es-MX"/>
              </w:rPr>
            </w:pPr>
            <w:r w:rsidRPr="004B3592">
              <w:rPr>
                <w:rFonts w:ascii="Montserrat" w:hAnsi="Montserrat"/>
                <w:bCs/>
                <w:sz w:val="22"/>
                <w:szCs w:val="22"/>
                <w:lang w:val="es-MX"/>
              </w:rPr>
              <w:t>16,143,213,747.68</w:t>
            </w:r>
          </w:p>
        </w:tc>
      </w:tr>
      <w:tr w:rsidR="00A11567" w:rsidRPr="00192892" w14:paraId="4E4AEED5" w14:textId="77777777" w:rsidTr="007750B8">
        <w:trPr>
          <w:trHeight w:val="3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8A3D42" w14:textId="4853A416" w:rsidR="00A11567" w:rsidRPr="00192892" w:rsidRDefault="00A11567" w:rsidP="009A021D">
            <w:pPr>
              <w:jc w:val="center"/>
              <w:rPr>
                <w:rFonts w:ascii="Montserrat" w:hAnsi="Montserrat" w:cs="Calibri"/>
                <w:bCs/>
                <w:sz w:val="22"/>
                <w:szCs w:val="22"/>
              </w:rPr>
            </w:pPr>
            <w:r>
              <w:rPr>
                <w:rFonts w:ascii="Montserrat" w:hAnsi="Montserrat" w:cs="Calibri"/>
                <w:bCs/>
                <w:sz w:val="22"/>
                <w:szCs w:val="22"/>
              </w:rPr>
              <w:t>7.7.</w:t>
            </w:r>
            <w:r w:rsidR="001B23EE">
              <w:rPr>
                <w:rFonts w:ascii="Montserrat" w:hAnsi="Montserrat" w:cs="Calibri"/>
                <w:bCs/>
                <w:sz w:val="22"/>
                <w:szCs w:val="22"/>
              </w:rPr>
              <w:t>4.3</w:t>
            </w:r>
          </w:p>
        </w:tc>
        <w:tc>
          <w:tcPr>
            <w:tcW w:w="4536" w:type="dxa"/>
            <w:tcBorders>
              <w:top w:val="single" w:sz="4" w:space="0" w:color="auto"/>
              <w:left w:val="nil"/>
              <w:bottom w:val="single" w:sz="4" w:space="0" w:color="auto"/>
              <w:right w:val="single" w:sz="4" w:space="0" w:color="auto"/>
            </w:tcBorders>
            <w:shd w:val="clear" w:color="auto" w:fill="auto"/>
            <w:vAlign w:val="center"/>
          </w:tcPr>
          <w:p w14:paraId="5A5CC971" w14:textId="68055AE4" w:rsidR="00A11567" w:rsidRPr="00192892" w:rsidRDefault="00A11567" w:rsidP="009A021D">
            <w:pPr>
              <w:rPr>
                <w:rFonts w:ascii="Montserrat" w:hAnsi="Montserrat"/>
                <w:bCs/>
                <w:sz w:val="22"/>
                <w:szCs w:val="22"/>
                <w:lang w:val="es-MX"/>
              </w:rPr>
            </w:pPr>
            <w:r w:rsidRPr="00A11567">
              <w:rPr>
                <w:rFonts w:ascii="Montserrat" w:hAnsi="Montserrat"/>
                <w:bCs/>
                <w:sz w:val="22"/>
                <w:szCs w:val="22"/>
                <w:lang w:val="es-MX"/>
              </w:rPr>
              <w:t>Créditos no fiscales por recuperar</w:t>
            </w:r>
          </w:p>
        </w:tc>
        <w:tc>
          <w:tcPr>
            <w:tcW w:w="2902" w:type="dxa"/>
            <w:tcBorders>
              <w:top w:val="single" w:sz="4" w:space="0" w:color="auto"/>
              <w:left w:val="nil"/>
              <w:bottom w:val="single" w:sz="4" w:space="0" w:color="auto"/>
              <w:right w:val="single" w:sz="4" w:space="0" w:color="auto"/>
            </w:tcBorders>
            <w:shd w:val="clear" w:color="auto" w:fill="auto"/>
            <w:vAlign w:val="center"/>
          </w:tcPr>
          <w:p w14:paraId="34A8E44B" w14:textId="3B0506C7" w:rsidR="00A11567" w:rsidRPr="001B23EE" w:rsidRDefault="004B3592" w:rsidP="00A11567">
            <w:pPr>
              <w:jc w:val="right"/>
              <w:rPr>
                <w:rFonts w:ascii="Montserrat" w:hAnsi="Montserrat"/>
                <w:bCs/>
                <w:sz w:val="22"/>
                <w:szCs w:val="22"/>
                <w:lang w:val="es-MX"/>
              </w:rPr>
            </w:pPr>
            <w:r w:rsidRPr="004B3592">
              <w:rPr>
                <w:rFonts w:ascii="Montserrat" w:hAnsi="Montserrat"/>
                <w:bCs/>
                <w:sz w:val="22"/>
                <w:szCs w:val="22"/>
                <w:lang w:val="es-MX"/>
              </w:rPr>
              <w:t>896,617,687.51</w:t>
            </w:r>
          </w:p>
        </w:tc>
      </w:tr>
      <w:tr w:rsidR="00FD2DE6" w:rsidRPr="00192892" w14:paraId="1A81E02E" w14:textId="77777777" w:rsidTr="007750B8">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951ED" w14:textId="77777777" w:rsidR="009A021D" w:rsidRPr="00192892" w:rsidRDefault="009A021D" w:rsidP="009A021D">
            <w:pPr>
              <w:jc w:val="center"/>
              <w:rPr>
                <w:rFonts w:ascii="Montserrat" w:hAnsi="Montserrat" w:cs="Calibri"/>
                <w:bCs/>
                <w:sz w:val="22"/>
                <w:szCs w:val="22"/>
              </w:rPr>
            </w:pPr>
            <w:r w:rsidRPr="00192892">
              <w:rPr>
                <w:rFonts w:ascii="Montserrat" w:hAnsi="Montserrat" w:cs="Calibri"/>
                <w:bCs/>
                <w:sz w:val="22"/>
                <w:szCs w:val="22"/>
              </w:rPr>
              <w:t>7.7.5.2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2388B728" w14:textId="77777777" w:rsidR="009A021D" w:rsidRPr="00192892" w:rsidRDefault="009A021D" w:rsidP="009A021D">
            <w:pPr>
              <w:rPr>
                <w:rFonts w:ascii="Montserrat" w:hAnsi="Montserrat"/>
                <w:bCs/>
                <w:sz w:val="22"/>
                <w:szCs w:val="22"/>
                <w:lang w:val="es-MX"/>
              </w:rPr>
            </w:pPr>
            <w:r w:rsidRPr="00192892">
              <w:rPr>
                <w:rFonts w:ascii="Montserrat" w:hAnsi="Montserrat"/>
                <w:bCs/>
                <w:sz w:val="22"/>
                <w:szCs w:val="22"/>
                <w:lang w:val="es-MX"/>
              </w:rPr>
              <w:t>Otras obligaciones de pago</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4EE74D00" w14:textId="54AED15E" w:rsidR="009A021D" w:rsidRPr="00192892" w:rsidRDefault="002777EB" w:rsidP="009A021D">
            <w:pPr>
              <w:jc w:val="right"/>
              <w:rPr>
                <w:rFonts w:ascii="Montserrat" w:hAnsi="Montserrat"/>
                <w:bCs/>
                <w:sz w:val="22"/>
                <w:szCs w:val="22"/>
                <w:lang w:val="es-MX"/>
              </w:rPr>
            </w:pPr>
            <w:r w:rsidRPr="00192892">
              <w:rPr>
                <w:rFonts w:ascii="Montserrat" w:hAnsi="Montserrat"/>
                <w:bCs/>
                <w:sz w:val="22"/>
                <w:szCs w:val="22"/>
                <w:lang w:val="es-MX"/>
              </w:rPr>
              <w:t>1,534,235,126.00</w:t>
            </w:r>
          </w:p>
        </w:tc>
      </w:tr>
      <w:tr w:rsidR="00FD2DE6" w:rsidRPr="00192892" w14:paraId="0A5BB0E9" w14:textId="77777777" w:rsidTr="007750B8">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381FCC3" w14:textId="77777777" w:rsidR="009A021D" w:rsidRPr="00192892" w:rsidRDefault="009A021D" w:rsidP="009A021D">
            <w:pPr>
              <w:jc w:val="center"/>
              <w:rPr>
                <w:rFonts w:ascii="Montserrat" w:hAnsi="Montserrat" w:cs="Calibri"/>
                <w:bCs/>
                <w:sz w:val="22"/>
                <w:szCs w:val="22"/>
              </w:rPr>
            </w:pPr>
            <w:r w:rsidRPr="00192892">
              <w:rPr>
                <w:rFonts w:ascii="Montserrat" w:hAnsi="Montserrat" w:cs="Calibri"/>
                <w:bCs/>
                <w:sz w:val="22"/>
                <w:szCs w:val="22"/>
              </w:rPr>
              <w:t>7.8.1.1</w:t>
            </w:r>
          </w:p>
        </w:tc>
        <w:tc>
          <w:tcPr>
            <w:tcW w:w="4536" w:type="dxa"/>
            <w:tcBorders>
              <w:top w:val="single" w:sz="4" w:space="0" w:color="auto"/>
              <w:left w:val="nil"/>
              <w:bottom w:val="single" w:sz="4" w:space="0" w:color="auto"/>
              <w:right w:val="single" w:sz="4" w:space="0" w:color="auto"/>
            </w:tcBorders>
            <w:shd w:val="clear" w:color="auto" w:fill="auto"/>
            <w:vAlign w:val="center"/>
          </w:tcPr>
          <w:p w14:paraId="2CCA7339" w14:textId="77777777" w:rsidR="009A021D" w:rsidRPr="00192892" w:rsidRDefault="009A021D" w:rsidP="009A021D">
            <w:pPr>
              <w:rPr>
                <w:rFonts w:ascii="Montserrat" w:hAnsi="Montserrat"/>
                <w:bCs/>
                <w:sz w:val="22"/>
                <w:szCs w:val="22"/>
                <w:lang w:val="es-MX"/>
              </w:rPr>
            </w:pPr>
            <w:r w:rsidRPr="00192892">
              <w:rPr>
                <w:rFonts w:ascii="Montserrat" w:hAnsi="Montserrat"/>
                <w:bCs/>
                <w:sz w:val="22"/>
                <w:szCs w:val="22"/>
                <w:lang w:val="es-MX"/>
              </w:rPr>
              <w:t>Bienes arqueológicos, artísticos e históricos</w:t>
            </w:r>
          </w:p>
        </w:tc>
        <w:tc>
          <w:tcPr>
            <w:tcW w:w="2902" w:type="dxa"/>
            <w:tcBorders>
              <w:top w:val="single" w:sz="4" w:space="0" w:color="auto"/>
              <w:left w:val="nil"/>
              <w:bottom w:val="single" w:sz="4" w:space="0" w:color="auto"/>
              <w:right w:val="single" w:sz="4" w:space="0" w:color="auto"/>
            </w:tcBorders>
            <w:shd w:val="clear" w:color="auto" w:fill="auto"/>
            <w:vAlign w:val="center"/>
          </w:tcPr>
          <w:p w14:paraId="6DB315E4" w14:textId="77777777" w:rsidR="009A021D" w:rsidRPr="00192892" w:rsidRDefault="009A021D" w:rsidP="009A021D">
            <w:pPr>
              <w:jc w:val="right"/>
              <w:rPr>
                <w:rFonts w:ascii="Montserrat" w:hAnsi="Montserrat"/>
                <w:bCs/>
                <w:sz w:val="22"/>
                <w:szCs w:val="22"/>
                <w:lang w:val="es-MX"/>
              </w:rPr>
            </w:pPr>
            <w:r w:rsidRPr="00192892">
              <w:rPr>
                <w:rFonts w:ascii="Montserrat" w:hAnsi="Montserrat"/>
                <w:bCs/>
                <w:sz w:val="22"/>
                <w:szCs w:val="22"/>
                <w:lang w:val="es-MX"/>
              </w:rPr>
              <w:t>20.00</w:t>
            </w:r>
          </w:p>
        </w:tc>
      </w:tr>
      <w:tr w:rsidR="00977E4E" w:rsidRPr="00192892" w14:paraId="6D38DDDA" w14:textId="77777777" w:rsidTr="007750B8">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8F77" w14:textId="77777777" w:rsidR="009A021D" w:rsidRPr="00192892" w:rsidRDefault="009A021D" w:rsidP="009A021D">
            <w:pPr>
              <w:rPr>
                <w:rFonts w:ascii="Montserrat" w:hAnsi="Montserrat" w:cs="Calibri"/>
                <w:b/>
                <w:sz w:val="22"/>
                <w:szCs w:val="22"/>
              </w:rPr>
            </w:pPr>
            <w:r w:rsidRPr="00192892">
              <w:rPr>
                <w:rFonts w:ascii="Montserrat" w:hAnsi="Montserrat" w:cs="Calibri"/>
                <w:b/>
                <w:sz w:val="22"/>
                <w:szCs w:val="22"/>
              </w:rPr>
              <w:t> </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2FF2CA9B" w14:textId="1741A111" w:rsidR="009A021D" w:rsidRPr="00192892" w:rsidRDefault="009A021D" w:rsidP="0046353B">
            <w:pPr>
              <w:jc w:val="right"/>
              <w:rPr>
                <w:rFonts w:ascii="Montserrat" w:hAnsi="Montserrat" w:cs="Calibri"/>
                <w:b/>
                <w:sz w:val="22"/>
                <w:szCs w:val="22"/>
              </w:rPr>
            </w:pPr>
            <w:r w:rsidRPr="00192892">
              <w:rPr>
                <w:rFonts w:ascii="Montserrat" w:hAnsi="Montserrat" w:cs="Calibri"/>
                <w:b/>
                <w:sz w:val="22"/>
                <w:szCs w:val="22"/>
              </w:rPr>
              <w:t>TOTA</w:t>
            </w:r>
            <w:r w:rsidR="00D917CF" w:rsidRPr="00192892">
              <w:rPr>
                <w:rFonts w:ascii="Montserrat" w:hAnsi="Montserrat" w:cs="Calibri"/>
                <w:b/>
                <w:sz w:val="22"/>
                <w:szCs w:val="22"/>
              </w:rPr>
              <w:t>L</w:t>
            </w:r>
          </w:p>
        </w:tc>
        <w:tc>
          <w:tcPr>
            <w:tcW w:w="2902" w:type="dxa"/>
            <w:tcBorders>
              <w:top w:val="single" w:sz="4" w:space="0" w:color="auto"/>
              <w:left w:val="nil"/>
              <w:bottom w:val="single" w:sz="4" w:space="0" w:color="auto"/>
              <w:right w:val="single" w:sz="4" w:space="0" w:color="auto"/>
            </w:tcBorders>
            <w:shd w:val="clear" w:color="auto" w:fill="auto"/>
            <w:noWrap/>
            <w:vAlign w:val="center"/>
            <w:hideMark/>
          </w:tcPr>
          <w:p w14:paraId="10537840" w14:textId="0C3FC81F" w:rsidR="009A021D" w:rsidRPr="001B23EE" w:rsidRDefault="004B3592" w:rsidP="001B23EE">
            <w:pPr>
              <w:jc w:val="right"/>
              <w:rPr>
                <w:rFonts w:ascii="Montserrat" w:hAnsi="Montserrat"/>
                <w:b/>
                <w:sz w:val="22"/>
                <w:szCs w:val="22"/>
                <w:lang w:val="es-MX"/>
              </w:rPr>
            </w:pPr>
            <w:r w:rsidRPr="004B3592">
              <w:rPr>
                <w:rFonts w:ascii="Montserrat" w:hAnsi="Montserrat"/>
                <w:b/>
                <w:sz w:val="22"/>
                <w:szCs w:val="22"/>
                <w:lang w:val="es-MX"/>
              </w:rPr>
              <w:t>18,613,429,224.75</w:t>
            </w:r>
          </w:p>
        </w:tc>
      </w:tr>
    </w:tbl>
    <w:p w14:paraId="39A3F3A6" w14:textId="77777777" w:rsidR="009A021D" w:rsidRPr="00192892" w:rsidRDefault="009A021D" w:rsidP="009A021D">
      <w:pPr>
        <w:rPr>
          <w:rFonts w:ascii="Montserrat" w:hAnsi="Montserrat"/>
          <w:b/>
          <w:sz w:val="22"/>
          <w:szCs w:val="22"/>
          <w:lang w:val="es-MX"/>
        </w:rPr>
      </w:pPr>
    </w:p>
    <w:p w14:paraId="61C70018" w14:textId="77777777" w:rsidR="009A021D" w:rsidRPr="00192892" w:rsidRDefault="009A021D" w:rsidP="009A021D">
      <w:pPr>
        <w:rPr>
          <w:rFonts w:ascii="Montserrat" w:eastAsia="Times New Roman" w:hAnsi="Montserrat" w:cs="Arial"/>
          <w:sz w:val="22"/>
          <w:szCs w:val="22"/>
        </w:rPr>
      </w:pPr>
      <w:r w:rsidRPr="00192892">
        <w:rPr>
          <w:rFonts w:ascii="Montserrat" w:eastAsia="Times New Roman" w:hAnsi="Montserrat" w:cs="Arial"/>
          <w:sz w:val="22"/>
          <w:szCs w:val="22"/>
        </w:rPr>
        <w:t>De estas cuentas es importante destacar la siguiente:</w:t>
      </w:r>
    </w:p>
    <w:p w14:paraId="2A5B7BED" w14:textId="77777777" w:rsidR="009A021D" w:rsidRPr="00192892" w:rsidRDefault="009A021D" w:rsidP="009A021D">
      <w:pPr>
        <w:rPr>
          <w:rFonts w:ascii="Montserrat" w:eastAsia="Times New Roman" w:hAnsi="Montserrat" w:cs="Arial"/>
          <w:sz w:val="22"/>
          <w:szCs w:val="22"/>
        </w:rPr>
      </w:pPr>
    </w:p>
    <w:p w14:paraId="3747C67C" w14:textId="77777777" w:rsidR="009A021D" w:rsidRPr="00192892" w:rsidRDefault="009A021D" w:rsidP="009A021D">
      <w:pPr>
        <w:rPr>
          <w:rFonts w:ascii="Montserrat" w:eastAsia="Times New Roman" w:hAnsi="Montserrat" w:cs="Arial"/>
          <w:b/>
          <w:bCs/>
          <w:sz w:val="22"/>
          <w:szCs w:val="22"/>
        </w:rPr>
      </w:pPr>
      <w:r w:rsidRPr="00192892">
        <w:rPr>
          <w:rFonts w:ascii="Montserrat" w:eastAsia="Times New Roman" w:hAnsi="Montserrat" w:cs="Arial"/>
          <w:b/>
          <w:bCs/>
          <w:sz w:val="22"/>
          <w:szCs w:val="22"/>
        </w:rPr>
        <w:t>CRÉDITOS BONOS CUPÓN CERO.</w:t>
      </w:r>
    </w:p>
    <w:p w14:paraId="579659BD" w14:textId="77777777" w:rsidR="009A021D" w:rsidRPr="00192892" w:rsidRDefault="009A021D" w:rsidP="009A021D">
      <w:pPr>
        <w:rPr>
          <w:rFonts w:ascii="Montserrat" w:eastAsia="Times New Roman" w:hAnsi="Montserrat" w:cs="Arial"/>
          <w:sz w:val="22"/>
          <w:szCs w:val="22"/>
          <w:highlight w:val="yellow"/>
        </w:rPr>
      </w:pPr>
    </w:p>
    <w:p w14:paraId="40DB1ACA" w14:textId="77777777" w:rsidR="002C1139" w:rsidRPr="002C1139" w:rsidRDefault="002C1139" w:rsidP="002C1139">
      <w:pPr>
        <w:jc w:val="both"/>
        <w:rPr>
          <w:rFonts w:ascii="Montserrat" w:hAnsi="Montserrat" w:cs="Arial"/>
          <w:bCs/>
          <w:sz w:val="22"/>
          <w:szCs w:val="22"/>
        </w:rPr>
      </w:pPr>
      <w:r w:rsidRPr="00F94E66">
        <w:rPr>
          <w:rFonts w:ascii="Montserrat" w:hAnsi="Montserrat" w:cs="Arial"/>
          <w:bCs/>
        </w:rPr>
        <w:t xml:space="preserve">Se </w:t>
      </w:r>
      <w:r w:rsidRPr="002C1139">
        <w:rPr>
          <w:rFonts w:ascii="Montserrat" w:hAnsi="Montserrat" w:cs="Arial"/>
          <w:bCs/>
          <w:sz w:val="22"/>
          <w:szCs w:val="22"/>
        </w:rPr>
        <w:t xml:space="preserve">consideran en esta clasificación los créditos contratados derivados del Fondo de Reconstrucción para Entidades Federativas (FONREC) y el Fondo para la Implementación del Sistema de Justicia Penal de las Entidades Federativas (JUSTICIA PENAL), con líneas de crédito a través de BANOBRAS, con beneficios como el manejo de un bono cupón cero sin pago de capital, solo el pago de intereses por parte de los Estados beneficiados y con un plazo de 20 años. </w:t>
      </w:r>
    </w:p>
    <w:p w14:paraId="309F92DF" w14:textId="77777777" w:rsidR="002C1139" w:rsidRPr="002C1139" w:rsidRDefault="002C1139" w:rsidP="002C1139">
      <w:pPr>
        <w:jc w:val="both"/>
        <w:rPr>
          <w:rFonts w:ascii="Montserrat" w:hAnsi="Montserrat" w:cs="Arial"/>
          <w:bCs/>
          <w:sz w:val="22"/>
          <w:szCs w:val="22"/>
        </w:rPr>
      </w:pPr>
    </w:p>
    <w:p w14:paraId="74D24688" w14:textId="77777777" w:rsidR="002C1139" w:rsidRPr="002C1139" w:rsidRDefault="002C1139" w:rsidP="002C1139">
      <w:pPr>
        <w:jc w:val="both"/>
        <w:rPr>
          <w:rFonts w:ascii="Montserrat" w:hAnsi="Montserrat" w:cs="Arial"/>
          <w:bCs/>
          <w:sz w:val="22"/>
          <w:szCs w:val="22"/>
        </w:rPr>
      </w:pPr>
      <w:r w:rsidRPr="002C1139">
        <w:rPr>
          <w:rFonts w:ascii="Montserrat" w:hAnsi="Montserrat" w:cs="Arial"/>
          <w:bCs/>
          <w:sz w:val="22"/>
          <w:szCs w:val="22"/>
        </w:rPr>
        <w:t>Es importante destacar, que para efectos informativos y de control el saldo de esta obligación se refleja en cuentas de orden contables y no como un pasivo directo dentro de los estados financieros del Poder Ejecutivo del Estado, esto debido a que la Federación será la encargada de pagar la amortización del capital.</w:t>
      </w:r>
    </w:p>
    <w:p w14:paraId="04EB5B58" w14:textId="77777777" w:rsidR="004B3592" w:rsidRDefault="004B3592" w:rsidP="002C1139">
      <w:pPr>
        <w:jc w:val="both"/>
        <w:rPr>
          <w:rFonts w:ascii="Montserrat" w:hAnsi="Montserrat" w:cs="Arial"/>
          <w:b/>
          <w:bCs/>
          <w:sz w:val="22"/>
          <w:szCs w:val="22"/>
        </w:rPr>
      </w:pPr>
    </w:p>
    <w:p w14:paraId="2C3AE1A8" w14:textId="77777777" w:rsidR="004B3592" w:rsidRDefault="004B3592" w:rsidP="002C1139">
      <w:pPr>
        <w:jc w:val="both"/>
        <w:rPr>
          <w:rFonts w:ascii="Montserrat" w:hAnsi="Montserrat" w:cs="Arial"/>
          <w:b/>
          <w:bCs/>
          <w:sz w:val="22"/>
          <w:szCs w:val="22"/>
        </w:rPr>
      </w:pPr>
    </w:p>
    <w:p w14:paraId="778D9178" w14:textId="77777777" w:rsidR="006F04B3" w:rsidRDefault="006F04B3">
      <w:pPr>
        <w:rPr>
          <w:rFonts w:ascii="Montserrat" w:hAnsi="Montserrat" w:cs="Arial"/>
          <w:b/>
          <w:bCs/>
          <w:sz w:val="22"/>
          <w:szCs w:val="22"/>
        </w:rPr>
      </w:pPr>
      <w:r>
        <w:rPr>
          <w:rFonts w:ascii="Montserrat" w:hAnsi="Montserrat" w:cs="Arial"/>
          <w:b/>
          <w:bCs/>
          <w:sz w:val="22"/>
          <w:szCs w:val="22"/>
        </w:rPr>
        <w:br w:type="page"/>
      </w:r>
    </w:p>
    <w:p w14:paraId="210D5E69" w14:textId="77777777" w:rsidR="006F04B3" w:rsidRDefault="006F04B3" w:rsidP="004B3592">
      <w:pPr>
        <w:keepNext/>
        <w:jc w:val="both"/>
        <w:rPr>
          <w:rFonts w:ascii="Montserrat" w:hAnsi="Montserrat" w:cs="Arial"/>
          <w:b/>
          <w:bCs/>
          <w:sz w:val="22"/>
          <w:szCs w:val="22"/>
        </w:rPr>
      </w:pPr>
    </w:p>
    <w:p w14:paraId="337D2F39" w14:textId="0D12B098" w:rsidR="002C1139" w:rsidRPr="002C1139" w:rsidRDefault="002C1139" w:rsidP="004B3592">
      <w:pPr>
        <w:keepNext/>
        <w:jc w:val="both"/>
        <w:rPr>
          <w:rFonts w:ascii="Montserrat" w:hAnsi="Montserrat" w:cs="Arial"/>
          <w:b/>
          <w:bCs/>
          <w:sz w:val="22"/>
          <w:szCs w:val="22"/>
        </w:rPr>
      </w:pPr>
      <w:r w:rsidRPr="002C1139">
        <w:rPr>
          <w:rFonts w:ascii="Montserrat" w:hAnsi="Montserrat" w:cs="Arial"/>
          <w:b/>
          <w:bCs/>
          <w:sz w:val="22"/>
          <w:szCs w:val="22"/>
        </w:rPr>
        <w:t>Saldo y Costo Financiero de los Créditos Bono Cupón Cero.</w:t>
      </w:r>
    </w:p>
    <w:p w14:paraId="64896C9B" w14:textId="77777777" w:rsidR="002C1139" w:rsidRPr="002C1139" w:rsidRDefault="002C1139" w:rsidP="002C1139">
      <w:pPr>
        <w:pStyle w:val="Prrafodelista"/>
        <w:ind w:left="0"/>
        <w:jc w:val="both"/>
        <w:rPr>
          <w:rFonts w:ascii="Montserrat" w:hAnsi="Montserrat" w:cs="Arial"/>
          <w:bCs/>
          <w:kern w:val="16"/>
        </w:rPr>
      </w:pPr>
    </w:p>
    <w:p w14:paraId="07185A6B" w14:textId="77777777" w:rsidR="002C1139" w:rsidRPr="002C1139" w:rsidRDefault="002C1139" w:rsidP="002C1139">
      <w:pPr>
        <w:pStyle w:val="Prrafodelista"/>
        <w:ind w:left="0"/>
        <w:jc w:val="both"/>
        <w:rPr>
          <w:rFonts w:ascii="Montserrat" w:hAnsi="Montserrat" w:cs="Arial"/>
          <w:bCs/>
          <w:color w:val="000000" w:themeColor="text1"/>
          <w:kern w:val="16"/>
        </w:rPr>
      </w:pPr>
      <w:r w:rsidRPr="002C1139">
        <w:rPr>
          <w:rFonts w:ascii="Montserrat" w:hAnsi="Montserrat" w:cs="Arial"/>
          <w:bCs/>
          <w:color w:val="000000" w:themeColor="text1"/>
          <w:kern w:val="16"/>
        </w:rPr>
        <w:t>El saldo bruto de los Créditos Bono Cupón Cero asciende a 1,534 millones 235 mil 126 pesos, integrado por el crédito Banobras JUSTICIA PENAL por 398 millones 859 mil 429 pesos y el crédito Banobras FONREC por un monto de 1,135 millones 375 mil 697 pesos.</w:t>
      </w:r>
    </w:p>
    <w:p w14:paraId="692033BA" w14:textId="77777777" w:rsidR="002C1139" w:rsidRPr="002C1139" w:rsidRDefault="002C1139" w:rsidP="002C1139">
      <w:pPr>
        <w:contextualSpacing/>
        <w:jc w:val="both"/>
        <w:rPr>
          <w:rFonts w:ascii="Montserrat" w:hAnsi="Montserrat" w:cs="Arial"/>
          <w:bCs/>
          <w:color w:val="000000" w:themeColor="text1"/>
          <w:kern w:val="16"/>
          <w:sz w:val="22"/>
          <w:szCs w:val="22"/>
        </w:rPr>
      </w:pPr>
      <w:r w:rsidRPr="002C1139">
        <w:rPr>
          <w:rFonts w:ascii="Montserrat" w:hAnsi="Montserrat" w:cs="Arial"/>
          <w:bCs/>
          <w:color w:val="000000" w:themeColor="text1"/>
          <w:kern w:val="16"/>
          <w:sz w:val="22"/>
          <w:szCs w:val="22"/>
        </w:rPr>
        <w:t xml:space="preserve">El valor de las acciones de los Bonos Cupón Cero, que fueron adquiridas por la Federación, para el pago de la amortización anticipada voluntaria parcial o total de los créditos, al cierre del trimestre asciende a 567 millones 653 mil 247 pesos, aplicando el valor nominal de los bonos cupón cero, el saldo neto se reduce a 966 millones 581 mil 879 pesos. </w:t>
      </w:r>
    </w:p>
    <w:p w14:paraId="136D6820" w14:textId="77777777" w:rsidR="002C1139" w:rsidRPr="002C1139" w:rsidRDefault="002C1139" w:rsidP="002C1139">
      <w:pPr>
        <w:tabs>
          <w:tab w:val="left" w:pos="8790"/>
        </w:tabs>
        <w:contextualSpacing/>
        <w:jc w:val="both"/>
        <w:rPr>
          <w:rFonts w:ascii="Montserrat" w:hAnsi="Montserrat" w:cs="Arial"/>
          <w:spacing w:val="20"/>
          <w:sz w:val="22"/>
          <w:szCs w:val="22"/>
        </w:rPr>
      </w:pPr>
      <w:r w:rsidRPr="002C1139">
        <w:rPr>
          <w:rFonts w:ascii="Montserrat" w:hAnsi="Montserrat" w:cs="Arial"/>
          <w:spacing w:val="20"/>
          <w:sz w:val="22"/>
          <w:szCs w:val="22"/>
        </w:rPr>
        <w:tab/>
      </w:r>
    </w:p>
    <w:p w14:paraId="67404946" w14:textId="77777777" w:rsidR="002C1139" w:rsidRDefault="002C1139" w:rsidP="002C1139">
      <w:pPr>
        <w:pStyle w:val="Prrafodelista"/>
        <w:ind w:left="0"/>
        <w:jc w:val="both"/>
        <w:rPr>
          <w:rFonts w:ascii="Montserrat" w:hAnsi="Montserrat" w:cs="Arial"/>
          <w:bCs/>
          <w:kern w:val="16"/>
        </w:rPr>
      </w:pPr>
      <w:r w:rsidRPr="002C1139">
        <w:rPr>
          <w:rFonts w:ascii="Montserrat" w:hAnsi="Montserrat" w:cs="Arial"/>
          <w:bCs/>
          <w:kern w:val="16"/>
        </w:rPr>
        <w:t>Se realizaron pagos de intereses de los financiamientos y honorarios fiduciarios por administración de los fideicomisos, por la cantidad de 141 millones 312 mil 867 pesos, los cuales se ejercieron con recursos de Participaciones.</w:t>
      </w:r>
    </w:p>
    <w:p w14:paraId="13DFD787" w14:textId="77777777" w:rsidR="006F04B3" w:rsidRDefault="006F04B3" w:rsidP="002C1139">
      <w:pPr>
        <w:pStyle w:val="Prrafodelista"/>
        <w:ind w:left="0"/>
        <w:jc w:val="both"/>
        <w:rPr>
          <w:rFonts w:ascii="Montserrat" w:hAnsi="Montserrat" w:cs="Arial"/>
          <w:bCs/>
          <w:kern w:val="16"/>
        </w:rPr>
      </w:pPr>
    </w:p>
    <w:p w14:paraId="20D4E691" w14:textId="77777777" w:rsidR="006F04B3" w:rsidRPr="002C1139" w:rsidRDefault="006F04B3" w:rsidP="002C1139">
      <w:pPr>
        <w:pStyle w:val="Prrafodelista"/>
        <w:ind w:left="0"/>
        <w:jc w:val="both"/>
        <w:rPr>
          <w:rFonts w:ascii="Montserrat" w:hAnsi="Montserrat" w:cs="Arial"/>
          <w:bCs/>
          <w:kern w:val="16"/>
        </w:rPr>
      </w:pPr>
    </w:p>
    <w:tbl>
      <w:tblPr>
        <w:tblW w:w="9068" w:type="dxa"/>
        <w:jc w:val="center"/>
        <w:tblCellMar>
          <w:left w:w="70" w:type="dxa"/>
          <w:right w:w="70" w:type="dxa"/>
        </w:tblCellMar>
        <w:tblLook w:val="04A0" w:firstRow="1" w:lastRow="0" w:firstColumn="1" w:lastColumn="0" w:noHBand="0" w:noVBand="1"/>
      </w:tblPr>
      <w:tblGrid>
        <w:gridCol w:w="1832"/>
        <w:gridCol w:w="1348"/>
        <w:gridCol w:w="1483"/>
        <w:gridCol w:w="1500"/>
        <w:gridCol w:w="1432"/>
        <w:gridCol w:w="1473"/>
      </w:tblGrid>
      <w:tr w:rsidR="002C1139" w:rsidRPr="00297A23" w14:paraId="77BF37AD" w14:textId="77777777" w:rsidTr="004B3592">
        <w:trPr>
          <w:trHeight w:val="215"/>
          <w:jc w:val="center"/>
        </w:trPr>
        <w:tc>
          <w:tcPr>
            <w:tcW w:w="9068" w:type="dxa"/>
            <w:gridSpan w:val="6"/>
            <w:tcBorders>
              <w:top w:val="nil"/>
              <w:left w:val="nil"/>
              <w:bottom w:val="nil"/>
              <w:right w:val="nil"/>
            </w:tcBorders>
            <w:shd w:val="clear" w:color="auto" w:fill="auto"/>
            <w:noWrap/>
            <w:vAlign w:val="bottom"/>
            <w:hideMark/>
          </w:tcPr>
          <w:p w14:paraId="7E3CA628" w14:textId="77777777"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SALDO Y COSTO FINANCIERO DE LOS CRÉDITOS BONO CUPÓN CERO</w:t>
            </w:r>
          </w:p>
        </w:tc>
      </w:tr>
      <w:tr w:rsidR="002C1139" w:rsidRPr="00297A23" w14:paraId="77AE1D05" w14:textId="77777777" w:rsidTr="004B3592">
        <w:trPr>
          <w:trHeight w:val="231"/>
          <w:jc w:val="center"/>
        </w:trPr>
        <w:tc>
          <w:tcPr>
            <w:tcW w:w="9068" w:type="dxa"/>
            <w:gridSpan w:val="6"/>
            <w:tcBorders>
              <w:top w:val="nil"/>
              <w:left w:val="nil"/>
              <w:bottom w:val="nil"/>
              <w:right w:val="nil"/>
            </w:tcBorders>
            <w:shd w:val="clear" w:color="auto" w:fill="auto"/>
            <w:noWrap/>
            <w:vAlign w:val="center"/>
            <w:hideMark/>
          </w:tcPr>
          <w:p w14:paraId="7DC7DE75" w14:textId="77777777"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(Pesos)</w:t>
            </w:r>
          </w:p>
        </w:tc>
      </w:tr>
      <w:tr w:rsidR="002C1139" w:rsidRPr="00297A23" w14:paraId="5ACC4DD5" w14:textId="77777777" w:rsidTr="004B3592">
        <w:trPr>
          <w:trHeight w:val="359"/>
          <w:jc w:val="center"/>
        </w:trPr>
        <w:tc>
          <w:tcPr>
            <w:tcW w:w="1832" w:type="dxa"/>
            <w:vMerge w:val="restart"/>
            <w:tcBorders>
              <w:top w:val="single" w:sz="8" w:space="0" w:color="000000"/>
              <w:left w:val="single" w:sz="8" w:space="0" w:color="000000"/>
              <w:bottom w:val="nil"/>
              <w:right w:val="nil"/>
            </w:tcBorders>
            <w:shd w:val="clear" w:color="auto" w:fill="auto"/>
            <w:vAlign w:val="center"/>
            <w:hideMark/>
          </w:tcPr>
          <w:p w14:paraId="6D9C4605" w14:textId="77777777"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CONCEPTO</w:t>
            </w:r>
          </w:p>
        </w:tc>
        <w:tc>
          <w:tcPr>
            <w:tcW w:w="1348" w:type="dxa"/>
            <w:vMerge w:val="restart"/>
            <w:tcBorders>
              <w:top w:val="single" w:sz="8" w:space="0" w:color="000000"/>
              <w:left w:val="nil"/>
              <w:bottom w:val="nil"/>
              <w:right w:val="nil"/>
            </w:tcBorders>
            <w:shd w:val="clear" w:color="auto" w:fill="auto"/>
            <w:vAlign w:val="center"/>
            <w:hideMark/>
          </w:tcPr>
          <w:p w14:paraId="1F371BBD" w14:textId="1C387BC2"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 xml:space="preserve">MONTO </w:t>
            </w:r>
            <w:r w:rsidR="004B3592" w:rsidRPr="00297A23">
              <w:rPr>
                <w:rFonts w:ascii="Montserrat" w:hAnsi="Montserrat" w:cs="Calibri"/>
                <w:b/>
                <w:bCs/>
                <w:sz w:val="16"/>
                <w:szCs w:val="16"/>
                <w:lang w:val="es-MX"/>
              </w:rPr>
              <w:t>LÍNEA</w:t>
            </w:r>
            <w:r w:rsidRPr="00297A23">
              <w:rPr>
                <w:rFonts w:ascii="Montserrat" w:hAnsi="Montserrat" w:cs="Calibri"/>
                <w:b/>
                <w:bCs/>
                <w:sz w:val="16"/>
                <w:szCs w:val="16"/>
                <w:lang w:val="es-MX"/>
              </w:rPr>
              <w:t xml:space="preserve"> CRÉDITO</w:t>
            </w:r>
          </w:p>
        </w:tc>
        <w:tc>
          <w:tcPr>
            <w:tcW w:w="1483" w:type="dxa"/>
            <w:vMerge w:val="restart"/>
            <w:tcBorders>
              <w:top w:val="single" w:sz="8" w:space="0" w:color="000000"/>
              <w:left w:val="nil"/>
              <w:bottom w:val="nil"/>
              <w:right w:val="nil"/>
            </w:tcBorders>
            <w:shd w:val="clear" w:color="auto" w:fill="auto"/>
            <w:vAlign w:val="center"/>
            <w:hideMark/>
          </w:tcPr>
          <w:p w14:paraId="202FE71F" w14:textId="77777777"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MONTO DISPUESTO</w:t>
            </w:r>
          </w:p>
        </w:tc>
        <w:tc>
          <w:tcPr>
            <w:tcW w:w="1500" w:type="dxa"/>
            <w:vMerge w:val="restart"/>
            <w:tcBorders>
              <w:top w:val="single" w:sz="8" w:space="0" w:color="000000"/>
              <w:left w:val="nil"/>
              <w:bottom w:val="nil"/>
              <w:right w:val="nil"/>
            </w:tcBorders>
            <w:shd w:val="clear" w:color="auto" w:fill="auto"/>
            <w:vAlign w:val="center"/>
            <w:hideMark/>
          </w:tcPr>
          <w:p w14:paraId="68C25259" w14:textId="1D93A8D2"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 xml:space="preserve">VALOR NOMINAL DEL BONO </w:t>
            </w:r>
            <w:r w:rsidR="004B3592" w:rsidRPr="00297A23">
              <w:rPr>
                <w:rFonts w:ascii="Montserrat" w:hAnsi="Montserrat" w:cs="Calibri"/>
                <w:b/>
                <w:bCs/>
                <w:sz w:val="16"/>
                <w:szCs w:val="16"/>
                <w:lang w:val="es-MX"/>
              </w:rPr>
              <w:t>CUPÓN</w:t>
            </w:r>
            <w:r w:rsidRPr="00297A23">
              <w:rPr>
                <w:rFonts w:ascii="Montserrat" w:hAnsi="Montserrat" w:cs="Calibri"/>
                <w:b/>
                <w:bCs/>
                <w:sz w:val="16"/>
                <w:szCs w:val="16"/>
                <w:lang w:val="es-MX"/>
              </w:rPr>
              <w:t xml:space="preserve"> CERO /1</w:t>
            </w:r>
          </w:p>
        </w:tc>
        <w:tc>
          <w:tcPr>
            <w:tcW w:w="1432" w:type="dxa"/>
            <w:vMerge w:val="restart"/>
            <w:tcBorders>
              <w:top w:val="single" w:sz="8" w:space="0" w:color="000000"/>
              <w:left w:val="nil"/>
              <w:bottom w:val="nil"/>
              <w:right w:val="nil"/>
            </w:tcBorders>
            <w:shd w:val="clear" w:color="auto" w:fill="auto"/>
            <w:vAlign w:val="center"/>
            <w:hideMark/>
          </w:tcPr>
          <w:p w14:paraId="01DE021E" w14:textId="77777777"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SALDO NETO DICIEMBRE 2024</w:t>
            </w:r>
          </w:p>
        </w:tc>
        <w:tc>
          <w:tcPr>
            <w:tcW w:w="1473"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3D03EDF3" w14:textId="77777777"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 xml:space="preserve">COSTO FINANCIERO </w:t>
            </w:r>
            <w:r w:rsidRPr="00297A23">
              <w:rPr>
                <w:rFonts w:ascii="Montserrat" w:hAnsi="Montserrat" w:cs="Calibri"/>
                <w:b/>
                <w:bCs/>
                <w:sz w:val="16"/>
                <w:szCs w:val="16"/>
                <w:lang w:val="es-MX"/>
              </w:rPr>
              <w:br/>
              <w:t>ENERO-DICIEMBRE/24</w:t>
            </w:r>
          </w:p>
        </w:tc>
      </w:tr>
      <w:tr w:rsidR="002C1139" w:rsidRPr="00297A23" w14:paraId="03D4B5FA" w14:textId="77777777" w:rsidTr="004B3592">
        <w:trPr>
          <w:trHeight w:val="276"/>
          <w:jc w:val="center"/>
        </w:trPr>
        <w:tc>
          <w:tcPr>
            <w:tcW w:w="1832" w:type="dxa"/>
            <w:vMerge/>
            <w:tcBorders>
              <w:top w:val="single" w:sz="8" w:space="0" w:color="000000"/>
              <w:left w:val="single" w:sz="8" w:space="0" w:color="000000"/>
              <w:bottom w:val="nil"/>
              <w:right w:val="nil"/>
            </w:tcBorders>
            <w:vAlign w:val="center"/>
            <w:hideMark/>
          </w:tcPr>
          <w:p w14:paraId="6AD2CAF4" w14:textId="77777777" w:rsidR="002C1139" w:rsidRPr="00297A23" w:rsidRDefault="002C1139" w:rsidP="00BF24E5">
            <w:pPr>
              <w:rPr>
                <w:rFonts w:ascii="Montserrat" w:hAnsi="Montserrat" w:cs="Calibri"/>
                <w:b/>
                <w:bCs/>
                <w:sz w:val="16"/>
                <w:szCs w:val="16"/>
                <w:lang w:val="es-MX"/>
              </w:rPr>
            </w:pPr>
          </w:p>
        </w:tc>
        <w:tc>
          <w:tcPr>
            <w:tcW w:w="1348" w:type="dxa"/>
            <w:vMerge/>
            <w:tcBorders>
              <w:top w:val="single" w:sz="8" w:space="0" w:color="000000"/>
              <w:left w:val="nil"/>
              <w:bottom w:val="nil"/>
              <w:right w:val="nil"/>
            </w:tcBorders>
            <w:vAlign w:val="center"/>
            <w:hideMark/>
          </w:tcPr>
          <w:p w14:paraId="33C0E608" w14:textId="77777777" w:rsidR="002C1139" w:rsidRPr="00297A23" w:rsidRDefault="002C1139" w:rsidP="00BF24E5">
            <w:pPr>
              <w:rPr>
                <w:rFonts w:ascii="Montserrat" w:hAnsi="Montserrat" w:cs="Calibri"/>
                <w:b/>
                <w:bCs/>
                <w:sz w:val="16"/>
                <w:szCs w:val="16"/>
                <w:lang w:val="es-MX"/>
              </w:rPr>
            </w:pPr>
          </w:p>
        </w:tc>
        <w:tc>
          <w:tcPr>
            <w:tcW w:w="1483" w:type="dxa"/>
            <w:vMerge/>
            <w:tcBorders>
              <w:top w:val="single" w:sz="8" w:space="0" w:color="000000"/>
              <w:left w:val="nil"/>
              <w:bottom w:val="nil"/>
              <w:right w:val="nil"/>
            </w:tcBorders>
            <w:vAlign w:val="center"/>
            <w:hideMark/>
          </w:tcPr>
          <w:p w14:paraId="0A459042" w14:textId="77777777" w:rsidR="002C1139" w:rsidRPr="00297A23" w:rsidRDefault="002C1139" w:rsidP="00BF24E5">
            <w:pPr>
              <w:rPr>
                <w:rFonts w:ascii="Montserrat" w:hAnsi="Montserrat" w:cs="Calibri"/>
                <w:b/>
                <w:bCs/>
                <w:sz w:val="16"/>
                <w:szCs w:val="16"/>
                <w:lang w:val="es-MX"/>
              </w:rPr>
            </w:pPr>
          </w:p>
        </w:tc>
        <w:tc>
          <w:tcPr>
            <w:tcW w:w="1500" w:type="dxa"/>
            <w:vMerge/>
            <w:tcBorders>
              <w:top w:val="single" w:sz="8" w:space="0" w:color="000000"/>
              <w:left w:val="nil"/>
              <w:bottom w:val="nil"/>
              <w:right w:val="nil"/>
            </w:tcBorders>
            <w:vAlign w:val="center"/>
            <w:hideMark/>
          </w:tcPr>
          <w:p w14:paraId="29BBF52A" w14:textId="77777777" w:rsidR="002C1139" w:rsidRPr="00297A23" w:rsidRDefault="002C1139" w:rsidP="00BF24E5">
            <w:pPr>
              <w:rPr>
                <w:rFonts w:ascii="Montserrat" w:hAnsi="Montserrat" w:cs="Calibri"/>
                <w:b/>
                <w:bCs/>
                <w:sz w:val="16"/>
                <w:szCs w:val="16"/>
                <w:lang w:val="es-MX"/>
              </w:rPr>
            </w:pPr>
          </w:p>
        </w:tc>
        <w:tc>
          <w:tcPr>
            <w:tcW w:w="1432" w:type="dxa"/>
            <w:vMerge/>
            <w:tcBorders>
              <w:top w:val="single" w:sz="8" w:space="0" w:color="000000"/>
              <w:left w:val="nil"/>
              <w:bottom w:val="nil"/>
              <w:right w:val="nil"/>
            </w:tcBorders>
            <w:vAlign w:val="center"/>
            <w:hideMark/>
          </w:tcPr>
          <w:p w14:paraId="2AB92726" w14:textId="77777777" w:rsidR="002C1139" w:rsidRPr="00297A23" w:rsidRDefault="002C1139" w:rsidP="00BF24E5">
            <w:pPr>
              <w:rPr>
                <w:rFonts w:ascii="Montserrat" w:hAnsi="Montserrat" w:cs="Calibri"/>
                <w:b/>
                <w:bCs/>
                <w:sz w:val="16"/>
                <w:szCs w:val="16"/>
                <w:lang w:val="es-MX"/>
              </w:rPr>
            </w:pPr>
          </w:p>
        </w:tc>
        <w:tc>
          <w:tcPr>
            <w:tcW w:w="1473" w:type="dxa"/>
            <w:vMerge/>
            <w:tcBorders>
              <w:top w:val="single" w:sz="8" w:space="0" w:color="000000"/>
              <w:left w:val="nil"/>
              <w:bottom w:val="single" w:sz="8" w:space="0" w:color="000000"/>
              <w:right w:val="single" w:sz="8" w:space="0" w:color="000000"/>
            </w:tcBorders>
            <w:vAlign w:val="center"/>
            <w:hideMark/>
          </w:tcPr>
          <w:p w14:paraId="1C1F9CF2" w14:textId="77777777" w:rsidR="002C1139" w:rsidRPr="00297A23" w:rsidRDefault="002C1139" w:rsidP="00BF24E5">
            <w:pPr>
              <w:rPr>
                <w:rFonts w:ascii="Montserrat" w:hAnsi="Montserrat" w:cs="Calibri"/>
                <w:b/>
                <w:bCs/>
                <w:sz w:val="16"/>
                <w:szCs w:val="16"/>
                <w:lang w:val="es-MX"/>
              </w:rPr>
            </w:pPr>
          </w:p>
        </w:tc>
      </w:tr>
      <w:tr w:rsidR="002C1139" w:rsidRPr="00297A23" w14:paraId="35FCF58A" w14:textId="77777777" w:rsidTr="004B3592">
        <w:trPr>
          <w:trHeight w:val="196"/>
          <w:jc w:val="center"/>
        </w:trPr>
        <w:tc>
          <w:tcPr>
            <w:tcW w:w="1832" w:type="dxa"/>
            <w:tcBorders>
              <w:top w:val="nil"/>
              <w:left w:val="single" w:sz="8" w:space="0" w:color="000000"/>
              <w:bottom w:val="single" w:sz="8" w:space="0" w:color="000000"/>
              <w:right w:val="nil"/>
            </w:tcBorders>
            <w:shd w:val="clear" w:color="auto" w:fill="auto"/>
            <w:vAlign w:val="center"/>
            <w:hideMark/>
          </w:tcPr>
          <w:p w14:paraId="1255E4EE" w14:textId="77777777"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 </w:t>
            </w:r>
          </w:p>
        </w:tc>
        <w:tc>
          <w:tcPr>
            <w:tcW w:w="1348" w:type="dxa"/>
            <w:tcBorders>
              <w:top w:val="nil"/>
              <w:left w:val="nil"/>
              <w:bottom w:val="single" w:sz="8" w:space="0" w:color="000000"/>
              <w:right w:val="nil"/>
            </w:tcBorders>
            <w:shd w:val="clear" w:color="auto" w:fill="auto"/>
            <w:vAlign w:val="center"/>
            <w:hideMark/>
          </w:tcPr>
          <w:p w14:paraId="043C3F47" w14:textId="77777777"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 </w:t>
            </w:r>
          </w:p>
        </w:tc>
        <w:tc>
          <w:tcPr>
            <w:tcW w:w="1483" w:type="dxa"/>
            <w:tcBorders>
              <w:top w:val="nil"/>
              <w:left w:val="nil"/>
              <w:bottom w:val="single" w:sz="8" w:space="0" w:color="000000"/>
              <w:right w:val="nil"/>
            </w:tcBorders>
            <w:shd w:val="clear" w:color="auto" w:fill="auto"/>
            <w:vAlign w:val="bottom"/>
            <w:hideMark/>
          </w:tcPr>
          <w:p w14:paraId="16543ED8" w14:textId="77777777"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(A)</w:t>
            </w:r>
          </w:p>
        </w:tc>
        <w:tc>
          <w:tcPr>
            <w:tcW w:w="1500" w:type="dxa"/>
            <w:tcBorders>
              <w:top w:val="nil"/>
              <w:left w:val="nil"/>
              <w:bottom w:val="single" w:sz="8" w:space="0" w:color="000000"/>
              <w:right w:val="nil"/>
            </w:tcBorders>
            <w:shd w:val="clear" w:color="000000" w:fill="FFFFFF"/>
            <w:vAlign w:val="bottom"/>
            <w:hideMark/>
          </w:tcPr>
          <w:p w14:paraId="38FB92DA" w14:textId="77777777"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(B)</w:t>
            </w:r>
          </w:p>
        </w:tc>
        <w:tc>
          <w:tcPr>
            <w:tcW w:w="1432" w:type="dxa"/>
            <w:tcBorders>
              <w:top w:val="nil"/>
              <w:left w:val="nil"/>
              <w:bottom w:val="single" w:sz="8" w:space="0" w:color="000000"/>
              <w:right w:val="nil"/>
            </w:tcBorders>
            <w:shd w:val="clear" w:color="auto" w:fill="auto"/>
            <w:vAlign w:val="bottom"/>
            <w:hideMark/>
          </w:tcPr>
          <w:p w14:paraId="263D7962" w14:textId="77777777" w:rsidR="002C1139" w:rsidRPr="00297A23" w:rsidRDefault="002C1139" w:rsidP="00BF24E5">
            <w:pPr>
              <w:jc w:val="center"/>
              <w:rPr>
                <w:rFonts w:ascii="Montserrat" w:hAnsi="Montserrat" w:cs="Calibri"/>
                <w:b/>
                <w:bCs/>
                <w:sz w:val="16"/>
                <w:szCs w:val="16"/>
                <w:lang w:val="es-MX"/>
              </w:rPr>
            </w:pPr>
            <w:r w:rsidRPr="00297A23">
              <w:rPr>
                <w:rFonts w:ascii="Montserrat" w:hAnsi="Montserrat" w:cs="Calibri"/>
                <w:b/>
                <w:bCs/>
                <w:sz w:val="16"/>
                <w:szCs w:val="16"/>
                <w:lang w:val="es-MX"/>
              </w:rPr>
              <w:t>C = ( A -B)</w:t>
            </w:r>
          </w:p>
        </w:tc>
        <w:tc>
          <w:tcPr>
            <w:tcW w:w="1473" w:type="dxa"/>
            <w:vMerge/>
            <w:tcBorders>
              <w:top w:val="single" w:sz="8" w:space="0" w:color="000000"/>
              <w:left w:val="nil"/>
              <w:bottom w:val="single" w:sz="8" w:space="0" w:color="000000"/>
              <w:right w:val="single" w:sz="8" w:space="0" w:color="000000"/>
            </w:tcBorders>
            <w:vAlign w:val="center"/>
            <w:hideMark/>
          </w:tcPr>
          <w:p w14:paraId="1F666352" w14:textId="77777777" w:rsidR="002C1139" w:rsidRPr="00297A23" w:rsidRDefault="002C1139" w:rsidP="00BF24E5">
            <w:pPr>
              <w:rPr>
                <w:rFonts w:ascii="Montserrat" w:hAnsi="Montserrat" w:cs="Calibri"/>
                <w:b/>
                <w:bCs/>
                <w:sz w:val="16"/>
                <w:szCs w:val="16"/>
                <w:lang w:val="es-MX"/>
              </w:rPr>
            </w:pPr>
          </w:p>
        </w:tc>
      </w:tr>
      <w:tr w:rsidR="002C1139" w:rsidRPr="00297A23" w14:paraId="591E8E8C" w14:textId="77777777" w:rsidTr="004B3592">
        <w:trPr>
          <w:trHeight w:val="267"/>
          <w:jc w:val="center"/>
        </w:trPr>
        <w:tc>
          <w:tcPr>
            <w:tcW w:w="1832" w:type="dxa"/>
            <w:tcBorders>
              <w:top w:val="nil"/>
              <w:left w:val="single" w:sz="8" w:space="0" w:color="000000"/>
              <w:bottom w:val="nil"/>
              <w:right w:val="nil"/>
            </w:tcBorders>
            <w:shd w:val="clear" w:color="000000" w:fill="FFFFFF"/>
            <w:vAlign w:val="center"/>
            <w:hideMark/>
          </w:tcPr>
          <w:p w14:paraId="4464842D" w14:textId="77777777" w:rsidR="002C1139" w:rsidRPr="00297A23" w:rsidRDefault="002C1139" w:rsidP="00BF24E5">
            <w:pPr>
              <w:jc w:val="right"/>
              <w:rPr>
                <w:rFonts w:ascii="Montserrat" w:hAnsi="Montserrat" w:cs="Calibri"/>
                <w:b/>
                <w:bCs/>
                <w:sz w:val="16"/>
                <w:szCs w:val="16"/>
                <w:lang w:val="es-MX"/>
              </w:rPr>
            </w:pPr>
            <w:r w:rsidRPr="00297A23">
              <w:rPr>
                <w:rFonts w:ascii="Montserrat" w:hAnsi="Montserrat" w:cs="Calibri"/>
                <w:b/>
                <w:bCs/>
                <w:sz w:val="16"/>
                <w:szCs w:val="16"/>
                <w:lang w:val="es-MX"/>
              </w:rPr>
              <w:t>TOTAL</w:t>
            </w:r>
          </w:p>
        </w:tc>
        <w:tc>
          <w:tcPr>
            <w:tcW w:w="1348" w:type="dxa"/>
            <w:tcBorders>
              <w:top w:val="nil"/>
              <w:left w:val="nil"/>
              <w:bottom w:val="nil"/>
              <w:right w:val="nil"/>
            </w:tcBorders>
            <w:shd w:val="clear" w:color="000000" w:fill="FFFFFF"/>
            <w:vAlign w:val="center"/>
            <w:hideMark/>
          </w:tcPr>
          <w:p w14:paraId="5F2F9267" w14:textId="77777777" w:rsidR="002C1139" w:rsidRPr="00297A23" w:rsidRDefault="002C1139" w:rsidP="00BF24E5">
            <w:pPr>
              <w:rPr>
                <w:rFonts w:ascii="Montserrat" w:hAnsi="Montserrat" w:cs="Calibri"/>
                <w:b/>
                <w:bCs/>
                <w:sz w:val="16"/>
                <w:szCs w:val="16"/>
                <w:lang w:val="es-MX"/>
              </w:rPr>
            </w:pPr>
            <w:r w:rsidRPr="00297A23">
              <w:rPr>
                <w:rFonts w:ascii="Montserrat" w:hAnsi="Montserrat" w:cs="Calibri"/>
                <w:b/>
                <w:bCs/>
                <w:sz w:val="16"/>
                <w:szCs w:val="16"/>
                <w:lang w:val="es-MX"/>
              </w:rPr>
              <w:t> </w:t>
            </w:r>
          </w:p>
        </w:tc>
        <w:tc>
          <w:tcPr>
            <w:tcW w:w="1483" w:type="dxa"/>
            <w:tcBorders>
              <w:top w:val="nil"/>
              <w:left w:val="nil"/>
              <w:bottom w:val="nil"/>
              <w:right w:val="nil"/>
            </w:tcBorders>
            <w:shd w:val="clear" w:color="000000" w:fill="FFFFFF"/>
            <w:noWrap/>
            <w:vAlign w:val="center"/>
            <w:hideMark/>
          </w:tcPr>
          <w:p w14:paraId="3F107460" w14:textId="77777777" w:rsidR="002C1139" w:rsidRPr="00297A23" w:rsidRDefault="002C1139" w:rsidP="00BF24E5">
            <w:pPr>
              <w:jc w:val="center"/>
              <w:rPr>
                <w:rFonts w:ascii="Montserrat" w:hAnsi="Montserrat" w:cs="Calibri"/>
                <w:b/>
                <w:bCs/>
                <w:sz w:val="16"/>
                <w:szCs w:val="16"/>
                <w:u w:val="single"/>
                <w:lang w:val="es-MX"/>
              </w:rPr>
            </w:pPr>
            <w:r w:rsidRPr="00297A23">
              <w:rPr>
                <w:rFonts w:ascii="Montserrat" w:hAnsi="Montserrat" w:cs="Calibri"/>
                <w:b/>
                <w:bCs/>
                <w:sz w:val="16"/>
                <w:szCs w:val="16"/>
                <w:u w:val="single"/>
                <w:lang w:val="es-MX"/>
              </w:rPr>
              <w:t>1,534,235,126</w:t>
            </w:r>
          </w:p>
        </w:tc>
        <w:tc>
          <w:tcPr>
            <w:tcW w:w="1500" w:type="dxa"/>
            <w:tcBorders>
              <w:top w:val="single" w:sz="8" w:space="0" w:color="000000"/>
              <w:left w:val="nil"/>
              <w:bottom w:val="nil"/>
              <w:right w:val="nil"/>
            </w:tcBorders>
            <w:shd w:val="clear" w:color="000000" w:fill="FFFFFF"/>
            <w:noWrap/>
            <w:vAlign w:val="center"/>
            <w:hideMark/>
          </w:tcPr>
          <w:p w14:paraId="754D637C" w14:textId="77777777" w:rsidR="002C1139" w:rsidRPr="00297A23" w:rsidRDefault="002C1139" w:rsidP="00BF24E5">
            <w:pPr>
              <w:jc w:val="center"/>
              <w:rPr>
                <w:rFonts w:ascii="Montserrat" w:hAnsi="Montserrat" w:cs="Calibri"/>
                <w:b/>
                <w:bCs/>
                <w:sz w:val="16"/>
                <w:szCs w:val="16"/>
                <w:highlight w:val="yellow"/>
                <w:u w:val="single"/>
                <w:lang w:val="es-MX"/>
              </w:rPr>
            </w:pPr>
            <w:r w:rsidRPr="00297A23">
              <w:rPr>
                <w:rFonts w:ascii="Montserrat" w:hAnsi="Montserrat" w:cs="Calibri"/>
                <w:b/>
                <w:bCs/>
                <w:sz w:val="16"/>
                <w:szCs w:val="16"/>
                <w:u w:val="single"/>
              </w:rPr>
              <w:t>567,653,247</w:t>
            </w:r>
          </w:p>
        </w:tc>
        <w:tc>
          <w:tcPr>
            <w:tcW w:w="1432" w:type="dxa"/>
            <w:tcBorders>
              <w:top w:val="single" w:sz="8" w:space="0" w:color="000000"/>
              <w:left w:val="nil"/>
              <w:bottom w:val="nil"/>
              <w:right w:val="nil"/>
            </w:tcBorders>
            <w:shd w:val="clear" w:color="auto" w:fill="auto"/>
            <w:noWrap/>
            <w:vAlign w:val="center"/>
            <w:hideMark/>
          </w:tcPr>
          <w:p w14:paraId="34EE795E" w14:textId="77777777" w:rsidR="002C1139" w:rsidRPr="00297A23" w:rsidRDefault="002C1139" w:rsidP="00BF24E5">
            <w:pPr>
              <w:jc w:val="center"/>
              <w:rPr>
                <w:rFonts w:ascii="Montserrat" w:hAnsi="Montserrat" w:cs="Calibri"/>
                <w:b/>
                <w:bCs/>
                <w:sz w:val="16"/>
                <w:szCs w:val="16"/>
                <w:highlight w:val="yellow"/>
                <w:u w:val="single"/>
                <w:lang w:val="es-MX"/>
              </w:rPr>
            </w:pPr>
            <w:r w:rsidRPr="00297A23">
              <w:rPr>
                <w:rFonts w:ascii="Montserrat" w:hAnsi="Montserrat" w:cs="Calibri"/>
                <w:b/>
                <w:bCs/>
                <w:sz w:val="16"/>
                <w:szCs w:val="16"/>
                <w:u w:val="single"/>
              </w:rPr>
              <w:t>966,581,879</w:t>
            </w:r>
          </w:p>
        </w:tc>
        <w:tc>
          <w:tcPr>
            <w:tcW w:w="1473" w:type="dxa"/>
            <w:tcBorders>
              <w:top w:val="nil"/>
              <w:left w:val="nil"/>
              <w:bottom w:val="nil"/>
              <w:right w:val="single" w:sz="8" w:space="0" w:color="000000"/>
            </w:tcBorders>
            <w:shd w:val="clear" w:color="000000" w:fill="FFFFFF"/>
            <w:noWrap/>
            <w:vAlign w:val="center"/>
            <w:hideMark/>
          </w:tcPr>
          <w:p w14:paraId="3BB2E596" w14:textId="77777777" w:rsidR="002C1139" w:rsidRPr="00297A23" w:rsidRDefault="002C1139" w:rsidP="00BF24E5">
            <w:pPr>
              <w:jc w:val="center"/>
              <w:rPr>
                <w:rFonts w:ascii="Montserrat" w:hAnsi="Montserrat" w:cs="Calibri"/>
                <w:b/>
                <w:bCs/>
                <w:sz w:val="16"/>
                <w:szCs w:val="16"/>
                <w:u w:val="single"/>
                <w:lang w:val="es-MX"/>
              </w:rPr>
            </w:pPr>
            <w:r w:rsidRPr="00297A23">
              <w:rPr>
                <w:rFonts w:ascii="Montserrat" w:hAnsi="Montserrat" w:cs="Calibri"/>
                <w:b/>
                <w:bCs/>
                <w:sz w:val="16"/>
                <w:szCs w:val="16"/>
                <w:u w:val="single"/>
                <w:lang w:val="es-MX"/>
              </w:rPr>
              <w:t>141,312,867</w:t>
            </w:r>
          </w:p>
        </w:tc>
      </w:tr>
      <w:tr w:rsidR="002C1139" w:rsidRPr="00297A23" w14:paraId="6FEABE1F" w14:textId="77777777" w:rsidTr="004B3592">
        <w:trPr>
          <w:trHeight w:val="267"/>
          <w:jc w:val="center"/>
        </w:trPr>
        <w:tc>
          <w:tcPr>
            <w:tcW w:w="1832" w:type="dxa"/>
            <w:tcBorders>
              <w:top w:val="nil"/>
              <w:left w:val="single" w:sz="8" w:space="0" w:color="000000"/>
              <w:bottom w:val="nil"/>
              <w:right w:val="nil"/>
            </w:tcBorders>
            <w:shd w:val="clear" w:color="000000" w:fill="FFFFFF"/>
            <w:vAlign w:val="center"/>
            <w:hideMark/>
          </w:tcPr>
          <w:p w14:paraId="044F6FA6" w14:textId="77777777" w:rsidR="002C1139" w:rsidRPr="00297A23" w:rsidRDefault="002C1139" w:rsidP="00BF24E5">
            <w:pPr>
              <w:rPr>
                <w:rFonts w:ascii="Montserrat" w:hAnsi="Montserrat" w:cs="Calibri"/>
                <w:color w:val="000000"/>
                <w:sz w:val="16"/>
                <w:szCs w:val="16"/>
                <w:lang w:val="es-MX"/>
              </w:rPr>
            </w:pPr>
            <w:r w:rsidRPr="00297A23">
              <w:rPr>
                <w:rFonts w:ascii="Montserrat" w:hAnsi="Montserrat" w:cs="Calibri"/>
                <w:color w:val="000000"/>
                <w:sz w:val="16"/>
                <w:szCs w:val="16"/>
                <w:lang w:val="es-MX"/>
              </w:rPr>
              <w:t>Banobras- JUSTICIA PENAL</w:t>
            </w:r>
          </w:p>
        </w:tc>
        <w:tc>
          <w:tcPr>
            <w:tcW w:w="1348" w:type="dxa"/>
            <w:tcBorders>
              <w:top w:val="nil"/>
              <w:left w:val="nil"/>
              <w:bottom w:val="nil"/>
              <w:right w:val="nil"/>
            </w:tcBorders>
            <w:shd w:val="clear" w:color="000000" w:fill="FFFFFF"/>
            <w:noWrap/>
            <w:hideMark/>
          </w:tcPr>
          <w:p w14:paraId="767ADE29" w14:textId="77777777" w:rsidR="002C1139" w:rsidRPr="00297A23" w:rsidRDefault="002C1139" w:rsidP="00BF24E5">
            <w:pPr>
              <w:jc w:val="center"/>
              <w:rPr>
                <w:rFonts w:ascii="Montserrat" w:hAnsi="Montserrat" w:cs="Calibri"/>
                <w:color w:val="000000"/>
                <w:sz w:val="16"/>
                <w:szCs w:val="16"/>
                <w:lang w:val="es-MX"/>
              </w:rPr>
            </w:pPr>
            <w:r w:rsidRPr="00297A23">
              <w:rPr>
                <w:rFonts w:ascii="Montserrat" w:hAnsi="Montserrat" w:cs="Calibri"/>
                <w:color w:val="000000"/>
                <w:sz w:val="16"/>
                <w:szCs w:val="16"/>
                <w:lang w:val="es-MX"/>
              </w:rPr>
              <w:t xml:space="preserve"> 405,456,000</w:t>
            </w:r>
          </w:p>
        </w:tc>
        <w:tc>
          <w:tcPr>
            <w:tcW w:w="1483" w:type="dxa"/>
            <w:tcBorders>
              <w:top w:val="nil"/>
              <w:left w:val="nil"/>
              <w:bottom w:val="nil"/>
              <w:right w:val="nil"/>
            </w:tcBorders>
            <w:shd w:val="clear" w:color="000000" w:fill="FFFFFF"/>
            <w:noWrap/>
            <w:hideMark/>
          </w:tcPr>
          <w:p w14:paraId="62A9C733" w14:textId="77777777" w:rsidR="002C1139" w:rsidRPr="00297A23" w:rsidRDefault="002C1139" w:rsidP="00BF24E5">
            <w:pPr>
              <w:jc w:val="center"/>
              <w:rPr>
                <w:rFonts w:ascii="Montserrat" w:hAnsi="Montserrat" w:cs="Calibri"/>
                <w:b/>
                <w:bCs/>
                <w:color w:val="000000"/>
                <w:sz w:val="16"/>
                <w:szCs w:val="16"/>
                <w:lang w:val="es-MX"/>
              </w:rPr>
            </w:pPr>
            <w:r w:rsidRPr="00297A23">
              <w:rPr>
                <w:rFonts w:ascii="Montserrat" w:hAnsi="Montserrat" w:cs="Calibri"/>
                <w:b/>
                <w:bCs/>
                <w:color w:val="000000"/>
                <w:sz w:val="16"/>
                <w:szCs w:val="16"/>
                <w:lang w:val="es-MX"/>
              </w:rPr>
              <w:t>398,859,429</w:t>
            </w:r>
          </w:p>
        </w:tc>
        <w:tc>
          <w:tcPr>
            <w:tcW w:w="1500" w:type="dxa"/>
            <w:tcBorders>
              <w:top w:val="nil"/>
              <w:left w:val="nil"/>
              <w:bottom w:val="nil"/>
              <w:right w:val="nil"/>
            </w:tcBorders>
            <w:shd w:val="clear" w:color="000000" w:fill="FFFFFF"/>
            <w:noWrap/>
            <w:hideMark/>
          </w:tcPr>
          <w:p w14:paraId="264BD68E" w14:textId="77777777" w:rsidR="002C1139" w:rsidRPr="00297A23" w:rsidRDefault="002C1139" w:rsidP="00BF24E5">
            <w:pPr>
              <w:jc w:val="center"/>
              <w:rPr>
                <w:rFonts w:ascii="Montserrat" w:hAnsi="Montserrat" w:cs="Calibri"/>
                <w:sz w:val="16"/>
                <w:szCs w:val="16"/>
                <w:highlight w:val="yellow"/>
                <w:lang w:val="es-MX"/>
              </w:rPr>
            </w:pPr>
            <w:r w:rsidRPr="00297A23">
              <w:rPr>
                <w:rFonts w:ascii="Montserrat" w:hAnsi="Montserrat" w:cs="Calibri"/>
                <w:sz w:val="16"/>
                <w:szCs w:val="16"/>
              </w:rPr>
              <w:t>174,971,588</w:t>
            </w:r>
          </w:p>
        </w:tc>
        <w:tc>
          <w:tcPr>
            <w:tcW w:w="1432" w:type="dxa"/>
            <w:tcBorders>
              <w:top w:val="nil"/>
              <w:left w:val="nil"/>
              <w:bottom w:val="nil"/>
              <w:right w:val="nil"/>
            </w:tcBorders>
            <w:shd w:val="clear" w:color="auto" w:fill="auto"/>
            <w:noWrap/>
            <w:hideMark/>
          </w:tcPr>
          <w:p w14:paraId="4672D60F" w14:textId="77777777" w:rsidR="002C1139" w:rsidRPr="00297A23" w:rsidRDefault="002C1139" w:rsidP="00BF24E5">
            <w:pPr>
              <w:jc w:val="center"/>
              <w:rPr>
                <w:rFonts w:ascii="Montserrat" w:hAnsi="Montserrat" w:cs="Calibri"/>
                <w:color w:val="000000"/>
                <w:sz w:val="16"/>
                <w:szCs w:val="16"/>
                <w:highlight w:val="yellow"/>
                <w:lang w:val="es-MX"/>
              </w:rPr>
            </w:pPr>
            <w:r w:rsidRPr="00297A23">
              <w:rPr>
                <w:rFonts w:ascii="Montserrat" w:hAnsi="Montserrat" w:cs="Calibri"/>
                <w:color w:val="000000"/>
                <w:sz w:val="16"/>
                <w:szCs w:val="16"/>
              </w:rPr>
              <w:t>223,887,841</w:t>
            </w:r>
          </w:p>
        </w:tc>
        <w:tc>
          <w:tcPr>
            <w:tcW w:w="1473" w:type="dxa"/>
            <w:tcBorders>
              <w:top w:val="nil"/>
              <w:left w:val="nil"/>
              <w:bottom w:val="nil"/>
              <w:right w:val="single" w:sz="8" w:space="0" w:color="000000"/>
            </w:tcBorders>
            <w:shd w:val="clear" w:color="000000" w:fill="FFFFFF"/>
            <w:noWrap/>
            <w:hideMark/>
          </w:tcPr>
          <w:p w14:paraId="3E8ADA70" w14:textId="77777777" w:rsidR="002C1139" w:rsidRPr="00297A23" w:rsidRDefault="002C1139" w:rsidP="00BF24E5">
            <w:pPr>
              <w:jc w:val="center"/>
              <w:rPr>
                <w:rFonts w:ascii="Montserrat" w:hAnsi="Montserrat" w:cs="Calibri"/>
                <w:color w:val="000000"/>
                <w:sz w:val="16"/>
                <w:szCs w:val="16"/>
                <w:lang w:val="es-MX"/>
              </w:rPr>
            </w:pPr>
            <w:r w:rsidRPr="00297A23">
              <w:rPr>
                <w:rFonts w:ascii="Montserrat" w:hAnsi="Montserrat" w:cs="Calibri"/>
                <w:color w:val="000000"/>
                <w:sz w:val="16"/>
                <w:szCs w:val="16"/>
                <w:lang w:val="es-MX"/>
              </w:rPr>
              <w:t>34,221,351</w:t>
            </w:r>
          </w:p>
        </w:tc>
      </w:tr>
      <w:tr w:rsidR="002C1139" w:rsidRPr="00297A23" w14:paraId="05F930CA" w14:textId="77777777" w:rsidTr="004B3592">
        <w:trPr>
          <w:trHeight w:val="223"/>
          <w:jc w:val="center"/>
        </w:trPr>
        <w:tc>
          <w:tcPr>
            <w:tcW w:w="1832" w:type="dxa"/>
            <w:tcBorders>
              <w:top w:val="nil"/>
              <w:left w:val="single" w:sz="8" w:space="0" w:color="000000"/>
              <w:bottom w:val="nil"/>
              <w:right w:val="nil"/>
            </w:tcBorders>
            <w:shd w:val="clear" w:color="000000" w:fill="FFFFFF"/>
            <w:noWrap/>
            <w:vAlign w:val="bottom"/>
            <w:hideMark/>
          </w:tcPr>
          <w:p w14:paraId="1B8C9763" w14:textId="77777777" w:rsidR="002C1139" w:rsidRPr="00297A23" w:rsidRDefault="002C1139" w:rsidP="00BF24E5">
            <w:pPr>
              <w:rPr>
                <w:rFonts w:ascii="Montserrat" w:hAnsi="Montserrat" w:cs="Calibri"/>
                <w:color w:val="000000"/>
                <w:sz w:val="16"/>
                <w:szCs w:val="16"/>
                <w:lang w:val="es-MX"/>
              </w:rPr>
            </w:pPr>
            <w:r w:rsidRPr="00297A23">
              <w:rPr>
                <w:rFonts w:ascii="Montserrat" w:hAnsi="Montserrat" w:cs="Calibri"/>
                <w:color w:val="000000"/>
                <w:sz w:val="16"/>
                <w:szCs w:val="16"/>
                <w:lang w:val="es-MX"/>
              </w:rPr>
              <w:t xml:space="preserve">Banobras- FONREC  </w:t>
            </w:r>
          </w:p>
        </w:tc>
        <w:tc>
          <w:tcPr>
            <w:tcW w:w="1348" w:type="dxa"/>
            <w:tcBorders>
              <w:top w:val="nil"/>
              <w:left w:val="nil"/>
              <w:bottom w:val="nil"/>
              <w:right w:val="nil"/>
            </w:tcBorders>
            <w:shd w:val="clear" w:color="000000" w:fill="FFFFFF"/>
            <w:noWrap/>
            <w:vAlign w:val="bottom"/>
            <w:hideMark/>
          </w:tcPr>
          <w:p w14:paraId="7B9868A2" w14:textId="77777777" w:rsidR="002C1139" w:rsidRPr="00297A23" w:rsidRDefault="002C1139" w:rsidP="00BF24E5">
            <w:pPr>
              <w:jc w:val="center"/>
              <w:rPr>
                <w:rFonts w:ascii="Montserrat" w:hAnsi="Montserrat" w:cs="Calibri"/>
                <w:color w:val="000000"/>
                <w:sz w:val="16"/>
                <w:szCs w:val="16"/>
                <w:lang w:val="es-MX"/>
              </w:rPr>
            </w:pPr>
            <w:r w:rsidRPr="00297A23">
              <w:rPr>
                <w:rFonts w:ascii="Montserrat" w:hAnsi="Montserrat" w:cs="Calibri"/>
                <w:color w:val="000000"/>
                <w:sz w:val="16"/>
                <w:szCs w:val="16"/>
                <w:lang w:val="es-MX"/>
              </w:rPr>
              <w:t>1,200,000,000</w:t>
            </w:r>
          </w:p>
        </w:tc>
        <w:tc>
          <w:tcPr>
            <w:tcW w:w="1483" w:type="dxa"/>
            <w:tcBorders>
              <w:top w:val="nil"/>
              <w:left w:val="nil"/>
              <w:bottom w:val="nil"/>
              <w:right w:val="nil"/>
            </w:tcBorders>
            <w:shd w:val="clear" w:color="000000" w:fill="FFFFFF"/>
            <w:noWrap/>
            <w:vAlign w:val="bottom"/>
            <w:hideMark/>
          </w:tcPr>
          <w:p w14:paraId="20F30D7C" w14:textId="77777777" w:rsidR="002C1139" w:rsidRPr="00297A23" w:rsidRDefault="002C1139" w:rsidP="00BF24E5">
            <w:pPr>
              <w:jc w:val="center"/>
              <w:rPr>
                <w:rFonts w:ascii="Montserrat" w:hAnsi="Montserrat" w:cs="Calibri"/>
                <w:b/>
                <w:bCs/>
                <w:color w:val="000000"/>
                <w:sz w:val="16"/>
                <w:szCs w:val="16"/>
                <w:lang w:val="es-MX"/>
              </w:rPr>
            </w:pPr>
            <w:r w:rsidRPr="00297A23">
              <w:rPr>
                <w:rFonts w:ascii="Montserrat" w:hAnsi="Montserrat" w:cs="Calibri"/>
                <w:b/>
                <w:bCs/>
                <w:color w:val="000000"/>
                <w:sz w:val="16"/>
                <w:szCs w:val="16"/>
                <w:lang w:val="es-MX"/>
              </w:rPr>
              <w:t>1,135,375,697</w:t>
            </w:r>
          </w:p>
        </w:tc>
        <w:tc>
          <w:tcPr>
            <w:tcW w:w="1500" w:type="dxa"/>
            <w:tcBorders>
              <w:top w:val="nil"/>
              <w:left w:val="nil"/>
              <w:bottom w:val="nil"/>
              <w:right w:val="nil"/>
            </w:tcBorders>
            <w:shd w:val="clear" w:color="000000" w:fill="FFFFFF"/>
            <w:noWrap/>
            <w:vAlign w:val="bottom"/>
            <w:hideMark/>
          </w:tcPr>
          <w:p w14:paraId="275900A0" w14:textId="77777777" w:rsidR="002C1139" w:rsidRPr="00297A23" w:rsidRDefault="002C1139" w:rsidP="00BF24E5">
            <w:pPr>
              <w:jc w:val="center"/>
              <w:rPr>
                <w:rFonts w:ascii="Montserrat" w:hAnsi="Montserrat" w:cs="Calibri"/>
                <w:sz w:val="16"/>
                <w:szCs w:val="16"/>
                <w:highlight w:val="yellow"/>
                <w:lang w:val="es-MX"/>
              </w:rPr>
            </w:pPr>
            <w:r w:rsidRPr="00297A23">
              <w:rPr>
                <w:rFonts w:ascii="Montserrat" w:hAnsi="Montserrat" w:cs="Calibri"/>
                <w:sz w:val="16"/>
                <w:szCs w:val="16"/>
              </w:rPr>
              <w:t>392,681,659</w:t>
            </w:r>
          </w:p>
        </w:tc>
        <w:tc>
          <w:tcPr>
            <w:tcW w:w="1432" w:type="dxa"/>
            <w:tcBorders>
              <w:top w:val="nil"/>
              <w:left w:val="nil"/>
              <w:bottom w:val="nil"/>
              <w:right w:val="nil"/>
            </w:tcBorders>
            <w:shd w:val="clear" w:color="auto" w:fill="auto"/>
            <w:noWrap/>
            <w:vAlign w:val="bottom"/>
            <w:hideMark/>
          </w:tcPr>
          <w:p w14:paraId="1C79C4E8" w14:textId="77777777" w:rsidR="002C1139" w:rsidRPr="00297A23" w:rsidRDefault="002C1139" w:rsidP="00BF24E5">
            <w:pPr>
              <w:jc w:val="center"/>
              <w:rPr>
                <w:rFonts w:ascii="Montserrat" w:hAnsi="Montserrat" w:cs="Calibri"/>
                <w:color w:val="000000"/>
                <w:sz w:val="16"/>
                <w:szCs w:val="16"/>
                <w:highlight w:val="yellow"/>
                <w:lang w:val="es-MX"/>
              </w:rPr>
            </w:pPr>
            <w:r w:rsidRPr="00297A23">
              <w:rPr>
                <w:rFonts w:ascii="Montserrat" w:hAnsi="Montserrat" w:cs="Calibri"/>
                <w:color w:val="000000"/>
                <w:sz w:val="16"/>
                <w:szCs w:val="16"/>
              </w:rPr>
              <w:t>742,694,038</w:t>
            </w:r>
          </w:p>
        </w:tc>
        <w:tc>
          <w:tcPr>
            <w:tcW w:w="1473" w:type="dxa"/>
            <w:tcBorders>
              <w:top w:val="nil"/>
              <w:left w:val="nil"/>
              <w:bottom w:val="nil"/>
              <w:right w:val="single" w:sz="8" w:space="0" w:color="000000"/>
            </w:tcBorders>
            <w:shd w:val="clear" w:color="000000" w:fill="FFFFFF"/>
            <w:noWrap/>
            <w:hideMark/>
          </w:tcPr>
          <w:p w14:paraId="0683B667" w14:textId="77777777" w:rsidR="002C1139" w:rsidRPr="00297A23" w:rsidRDefault="002C1139" w:rsidP="00BF24E5">
            <w:pPr>
              <w:jc w:val="center"/>
              <w:rPr>
                <w:rFonts w:ascii="Montserrat" w:hAnsi="Montserrat" w:cs="Calibri"/>
                <w:color w:val="000000"/>
                <w:sz w:val="16"/>
                <w:szCs w:val="16"/>
                <w:lang w:val="es-MX"/>
              </w:rPr>
            </w:pPr>
            <w:r w:rsidRPr="00297A23">
              <w:rPr>
                <w:rFonts w:ascii="Montserrat" w:hAnsi="Montserrat" w:cs="Calibri"/>
                <w:color w:val="000000"/>
                <w:sz w:val="16"/>
                <w:szCs w:val="16"/>
                <w:lang w:val="es-MX"/>
              </w:rPr>
              <w:t>107,091,516</w:t>
            </w:r>
          </w:p>
        </w:tc>
      </w:tr>
      <w:tr w:rsidR="002C1139" w:rsidRPr="00297A23" w14:paraId="57BEF0B9" w14:textId="77777777" w:rsidTr="004B3592">
        <w:trPr>
          <w:trHeight w:val="45"/>
          <w:jc w:val="center"/>
        </w:trPr>
        <w:tc>
          <w:tcPr>
            <w:tcW w:w="1832" w:type="dxa"/>
            <w:tcBorders>
              <w:top w:val="nil"/>
              <w:left w:val="single" w:sz="8" w:space="0" w:color="000000"/>
              <w:bottom w:val="single" w:sz="8" w:space="0" w:color="000000"/>
              <w:right w:val="nil"/>
            </w:tcBorders>
            <w:shd w:val="clear" w:color="000000" w:fill="FFFFFF"/>
            <w:noWrap/>
            <w:vAlign w:val="bottom"/>
            <w:hideMark/>
          </w:tcPr>
          <w:p w14:paraId="43D15EAB" w14:textId="77777777" w:rsidR="002C1139" w:rsidRPr="00297A23" w:rsidRDefault="002C1139" w:rsidP="00BF24E5">
            <w:pPr>
              <w:rPr>
                <w:rFonts w:ascii="Montserrat" w:hAnsi="Montserrat" w:cs="Calibri"/>
                <w:color w:val="000000"/>
                <w:sz w:val="16"/>
                <w:szCs w:val="16"/>
                <w:lang w:val="es-MX"/>
              </w:rPr>
            </w:pPr>
            <w:r w:rsidRPr="00297A23">
              <w:rPr>
                <w:rFonts w:ascii="Montserrat" w:hAnsi="Montserrat" w:cs="Calibri"/>
                <w:color w:val="000000"/>
                <w:sz w:val="16"/>
                <w:szCs w:val="16"/>
                <w:lang w:val="es-MX"/>
              </w:rPr>
              <w:t> </w:t>
            </w:r>
          </w:p>
        </w:tc>
        <w:tc>
          <w:tcPr>
            <w:tcW w:w="1348" w:type="dxa"/>
            <w:tcBorders>
              <w:top w:val="nil"/>
              <w:left w:val="nil"/>
              <w:bottom w:val="single" w:sz="8" w:space="0" w:color="000000"/>
              <w:right w:val="nil"/>
            </w:tcBorders>
            <w:shd w:val="clear" w:color="000000" w:fill="FFFFFF"/>
            <w:noWrap/>
            <w:vAlign w:val="bottom"/>
            <w:hideMark/>
          </w:tcPr>
          <w:p w14:paraId="5229A32E" w14:textId="77777777" w:rsidR="002C1139" w:rsidRPr="00297A23" w:rsidRDefault="002C1139" w:rsidP="00BF24E5">
            <w:pPr>
              <w:rPr>
                <w:rFonts w:ascii="Montserrat" w:hAnsi="Montserrat" w:cs="Calibri"/>
                <w:color w:val="000000"/>
                <w:sz w:val="16"/>
                <w:szCs w:val="16"/>
                <w:lang w:val="es-MX"/>
              </w:rPr>
            </w:pPr>
            <w:r w:rsidRPr="00297A23">
              <w:rPr>
                <w:rFonts w:ascii="Montserrat" w:hAnsi="Montserrat" w:cs="Calibri"/>
                <w:color w:val="000000"/>
                <w:sz w:val="16"/>
                <w:szCs w:val="16"/>
                <w:lang w:val="es-MX"/>
              </w:rPr>
              <w:t> </w:t>
            </w:r>
          </w:p>
        </w:tc>
        <w:tc>
          <w:tcPr>
            <w:tcW w:w="1483" w:type="dxa"/>
            <w:tcBorders>
              <w:top w:val="nil"/>
              <w:left w:val="nil"/>
              <w:bottom w:val="single" w:sz="8" w:space="0" w:color="000000"/>
              <w:right w:val="nil"/>
            </w:tcBorders>
            <w:shd w:val="clear" w:color="000000" w:fill="FFFFFF"/>
            <w:noWrap/>
            <w:vAlign w:val="bottom"/>
            <w:hideMark/>
          </w:tcPr>
          <w:p w14:paraId="22660C7B" w14:textId="77777777" w:rsidR="002C1139" w:rsidRPr="00297A23" w:rsidRDefault="002C1139" w:rsidP="00BF24E5">
            <w:pPr>
              <w:rPr>
                <w:rFonts w:ascii="Montserrat" w:hAnsi="Montserrat" w:cs="Calibri"/>
                <w:color w:val="000000"/>
                <w:sz w:val="16"/>
                <w:szCs w:val="16"/>
                <w:lang w:val="es-MX"/>
              </w:rPr>
            </w:pPr>
            <w:r w:rsidRPr="00297A23">
              <w:rPr>
                <w:rFonts w:ascii="Montserrat" w:hAnsi="Montserrat" w:cs="Calibri"/>
                <w:color w:val="000000"/>
                <w:sz w:val="16"/>
                <w:szCs w:val="16"/>
                <w:lang w:val="es-MX"/>
              </w:rPr>
              <w:t> </w:t>
            </w:r>
          </w:p>
        </w:tc>
        <w:tc>
          <w:tcPr>
            <w:tcW w:w="1500" w:type="dxa"/>
            <w:tcBorders>
              <w:top w:val="nil"/>
              <w:left w:val="nil"/>
              <w:bottom w:val="single" w:sz="8" w:space="0" w:color="000000"/>
              <w:right w:val="nil"/>
            </w:tcBorders>
            <w:shd w:val="clear" w:color="000000" w:fill="FFFFFF"/>
            <w:noWrap/>
            <w:vAlign w:val="bottom"/>
            <w:hideMark/>
          </w:tcPr>
          <w:p w14:paraId="3FF98C52" w14:textId="77777777" w:rsidR="002C1139" w:rsidRPr="00297A23" w:rsidRDefault="002C1139" w:rsidP="00BF24E5">
            <w:pPr>
              <w:rPr>
                <w:rFonts w:ascii="Montserrat" w:hAnsi="Montserrat" w:cs="Calibri"/>
                <w:color w:val="000000"/>
                <w:sz w:val="16"/>
                <w:szCs w:val="16"/>
                <w:lang w:val="es-MX"/>
              </w:rPr>
            </w:pPr>
            <w:r w:rsidRPr="00297A23">
              <w:rPr>
                <w:rFonts w:ascii="Montserrat" w:hAnsi="Montserrat" w:cs="Calibri"/>
                <w:color w:val="000000"/>
                <w:sz w:val="16"/>
                <w:szCs w:val="16"/>
                <w:lang w:val="es-MX"/>
              </w:rPr>
              <w:t> </w:t>
            </w:r>
          </w:p>
        </w:tc>
        <w:tc>
          <w:tcPr>
            <w:tcW w:w="1432" w:type="dxa"/>
            <w:tcBorders>
              <w:top w:val="nil"/>
              <w:left w:val="nil"/>
              <w:bottom w:val="single" w:sz="8" w:space="0" w:color="000000"/>
              <w:right w:val="nil"/>
            </w:tcBorders>
            <w:shd w:val="clear" w:color="000000" w:fill="FFFFFF"/>
            <w:noWrap/>
            <w:vAlign w:val="bottom"/>
            <w:hideMark/>
          </w:tcPr>
          <w:p w14:paraId="6389041F" w14:textId="77777777" w:rsidR="002C1139" w:rsidRPr="00297A23" w:rsidRDefault="002C1139" w:rsidP="00BF24E5">
            <w:pPr>
              <w:rPr>
                <w:rFonts w:ascii="Montserrat" w:hAnsi="Montserrat" w:cs="Calibri"/>
                <w:color w:val="000000"/>
                <w:sz w:val="16"/>
                <w:szCs w:val="16"/>
                <w:lang w:val="es-MX"/>
              </w:rPr>
            </w:pPr>
            <w:r w:rsidRPr="00297A23">
              <w:rPr>
                <w:rFonts w:ascii="Montserrat" w:hAnsi="Montserrat" w:cs="Calibri"/>
                <w:color w:val="000000"/>
                <w:sz w:val="16"/>
                <w:szCs w:val="16"/>
                <w:lang w:val="es-MX"/>
              </w:rPr>
              <w:t> </w:t>
            </w:r>
          </w:p>
        </w:tc>
        <w:tc>
          <w:tcPr>
            <w:tcW w:w="1473" w:type="dxa"/>
            <w:tcBorders>
              <w:top w:val="nil"/>
              <w:left w:val="nil"/>
              <w:bottom w:val="single" w:sz="8" w:space="0" w:color="000000"/>
              <w:right w:val="single" w:sz="8" w:space="0" w:color="000000"/>
            </w:tcBorders>
            <w:shd w:val="clear" w:color="000000" w:fill="FFFFFF"/>
            <w:noWrap/>
            <w:vAlign w:val="bottom"/>
            <w:hideMark/>
          </w:tcPr>
          <w:p w14:paraId="1A700D67" w14:textId="77777777" w:rsidR="002C1139" w:rsidRPr="00297A23" w:rsidRDefault="002C1139" w:rsidP="00BF24E5">
            <w:pPr>
              <w:jc w:val="center"/>
              <w:rPr>
                <w:rFonts w:ascii="Montserrat" w:hAnsi="Montserrat" w:cs="Calibri"/>
                <w:color w:val="000000"/>
                <w:sz w:val="16"/>
                <w:szCs w:val="16"/>
                <w:lang w:val="es-MX"/>
              </w:rPr>
            </w:pPr>
            <w:r w:rsidRPr="00297A23">
              <w:rPr>
                <w:rFonts w:ascii="Montserrat" w:hAnsi="Montserrat" w:cs="Calibri"/>
                <w:color w:val="000000"/>
                <w:sz w:val="16"/>
                <w:szCs w:val="16"/>
                <w:lang w:val="es-MX"/>
              </w:rPr>
              <w:t> </w:t>
            </w:r>
          </w:p>
        </w:tc>
      </w:tr>
      <w:tr w:rsidR="002C1139" w:rsidRPr="00297A23" w14:paraId="6C594247" w14:textId="77777777" w:rsidTr="004B3592">
        <w:trPr>
          <w:trHeight w:val="429"/>
          <w:jc w:val="center"/>
        </w:trPr>
        <w:tc>
          <w:tcPr>
            <w:tcW w:w="9068" w:type="dxa"/>
            <w:gridSpan w:val="6"/>
            <w:tcBorders>
              <w:top w:val="nil"/>
              <w:left w:val="nil"/>
              <w:bottom w:val="nil"/>
              <w:right w:val="nil"/>
            </w:tcBorders>
            <w:shd w:val="clear" w:color="000000" w:fill="FFFFFF"/>
            <w:hideMark/>
          </w:tcPr>
          <w:p w14:paraId="5325CDE9" w14:textId="7985936E" w:rsidR="002C1139" w:rsidRPr="00297A23" w:rsidRDefault="002C1139" w:rsidP="00BF24E5">
            <w:pPr>
              <w:rPr>
                <w:rFonts w:ascii="Montserrat" w:hAnsi="Montserrat" w:cs="Calibri"/>
                <w:b/>
                <w:bCs/>
                <w:color w:val="000000"/>
                <w:sz w:val="16"/>
                <w:szCs w:val="16"/>
                <w:lang w:val="es-MX"/>
              </w:rPr>
            </w:pPr>
            <w:r w:rsidRPr="00297A23">
              <w:rPr>
                <w:rFonts w:ascii="Montserrat" w:hAnsi="Montserrat" w:cs="Calibri"/>
                <w:b/>
                <w:bCs/>
                <w:color w:val="000000"/>
                <w:sz w:val="16"/>
                <w:szCs w:val="16"/>
                <w:lang w:val="es-MX"/>
              </w:rPr>
              <w:t xml:space="preserve">1/ </w:t>
            </w:r>
            <w:r w:rsidRPr="00297A23">
              <w:rPr>
                <w:rFonts w:ascii="Montserrat" w:hAnsi="Montserrat" w:cs="Calibri"/>
                <w:color w:val="000000"/>
                <w:sz w:val="16"/>
                <w:szCs w:val="16"/>
                <w:lang w:val="es-MX"/>
              </w:rPr>
              <w:t>Valor nominal estimado de los bonos cupón cero al cierre del trimestre que servirán para el pago de capital al vencimiento, reportados por Banobras.</w:t>
            </w:r>
          </w:p>
        </w:tc>
      </w:tr>
      <w:tr w:rsidR="002C1139" w:rsidRPr="00297A23" w14:paraId="2768D863" w14:textId="77777777" w:rsidTr="004B3592">
        <w:trPr>
          <w:trHeight w:val="208"/>
          <w:jc w:val="center"/>
        </w:trPr>
        <w:tc>
          <w:tcPr>
            <w:tcW w:w="9068" w:type="dxa"/>
            <w:gridSpan w:val="6"/>
            <w:tcBorders>
              <w:top w:val="nil"/>
              <w:left w:val="nil"/>
              <w:bottom w:val="nil"/>
              <w:right w:val="nil"/>
            </w:tcBorders>
            <w:shd w:val="clear" w:color="auto" w:fill="auto"/>
            <w:vAlign w:val="center"/>
            <w:hideMark/>
          </w:tcPr>
          <w:p w14:paraId="37508771" w14:textId="1475E9FC" w:rsidR="002C1139" w:rsidRPr="00297A23" w:rsidRDefault="002C1139" w:rsidP="00BF24E5">
            <w:pPr>
              <w:rPr>
                <w:rFonts w:ascii="Montserrat" w:hAnsi="Montserrat" w:cs="Calibri"/>
                <w:color w:val="000000"/>
                <w:sz w:val="16"/>
                <w:szCs w:val="16"/>
                <w:lang w:val="es-MX"/>
              </w:rPr>
            </w:pPr>
            <w:r w:rsidRPr="00297A23">
              <w:rPr>
                <w:rFonts w:ascii="Montserrat" w:hAnsi="Montserrat" w:cs="Calibri"/>
                <w:b/>
                <w:bCs/>
                <w:color w:val="000000"/>
                <w:sz w:val="16"/>
                <w:szCs w:val="16"/>
                <w:lang w:val="es-MX"/>
              </w:rPr>
              <w:t xml:space="preserve">2/ </w:t>
            </w:r>
            <w:r w:rsidRPr="00297A23">
              <w:rPr>
                <w:rFonts w:ascii="Montserrat" w:hAnsi="Montserrat" w:cs="Calibri"/>
                <w:color w:val="000000"/>
                <w:sz w:val="16"/>
                <w:szCs w:val="16"/>
                <w:lang w:val="es-MX"/>
              </w:rPr>
              <w:t>El costo financiero incluye el pago de intereses y honorarios fiduciarios.</w:t>
            </w:r>
          </w:p>
        </w:tc>
      </w:tr>
    </w:tbl>
    <w:p w14:paraId="7C421BBD" w14:textId="77777777" w:rsidR="002C1139" w:rsidRDefault="002C1139" w:rsidP="002C1139">
      <w:pPr>
        <w:contextualSpacing/>
        <w:jc w:val="both"/>
        <w:rPr>
          <w:rFonts w:ascii="Montserrat" w:hAnsi="Montserrat" w:cs="Arial"/>
          <w:spacing w:val="20"/>
          <w:lang w:val="es-MX"/>
        </w:rPr>
      </w:pPr>
    </w:p>
    <w:p w14:paraId="2238DEB6" w14:textId="77777777" w:rsidR="006F04B3" w:rsidRPr="00B53E96" w:rsidRDefault="006F04B3" w:rsidP="002C1139">
      <w:pPr>
        <w:contextualSpacing/>
        <w:jc w:val="both"/>
        <w:rPr>
          <w:rFonts w:ascii="Montserrat" w:hAnsi="Montserrat" w:cs="Arial"/>
          <w:spacing w:val="20"/>
          <w:lang w:val="es-MX"/>
        </w:rPr>
      </w:pPr>
    </w:p>
    <w:p w14:paraId="226C0F81" w14:textId="77777777" w:rsidR="006F04B3" w:rsidRDefault="006F04B3" w:rsidP="009A021D">
      <w:pPr>
        <w:rPr>
          <w:rFonts w:ascii="Montserrat" w:eastAsia="Times New Roman" w:hAnsi="Montserrat" w:cs="Arial"/>
          <w:b/>
          <w:bCs/>
          <w:sz w:val="22"/>
          <w:szCs w:val="22"/>
        </w:rPr>
      </w:pPr>
    </w:p>
    <w:p w14:paraId="01A9F1C1" w14:textId="229DFFD3" w:rsidR="009A021D" w:rsidRPr="00192892" w:rsidRDefault="009A021D" w:rsidP="009A021D">
      <w:pPr>
        <w:rPr>
          <w:rFonts w:ascii="Montserrat" w:eastAsia="Times New Roman" w:hAnsi="Montserrat" w:cs="Arial"/>
          <w:b/>
          <w:bCs/>
          <w:sz w:val="22"/>
          <w:szCs w:val="22"/>
        </w:rPr>
      </w:pPr>
      <w:r w:rsidRPr="00192892">
        <w:rPr>
          <w:rFonts w:ascii="Montserrat" w:eastAsia="Times New Roman" w:hAnsi="Montserrat" w:cs="Arial"/>
          <w:b/>
          <w:bCs/>
          <w:sz w:val="22"/>
          <w:szCs w:val="22"/>
        </w:rPr>
        <w:t>CUENTAS DE ORDEN PRESUPUESTARIO</w:t>
      </w:r>
    </w:p>
    <w:p w14:paraId="6FAC2DDC" w14:textId="77777777" w:rsidR="009A021D" w:rsidRPr="00192892" w:rsidRDefault="009A021D" w:rsidP="009A021D">
      <w:pPr>
        <w:tabs>
          <w:tab w:val="left" w:pos="1260"/>
        </w:tabs>
        <w:spacing w:after="101" w:line="224" w:lineRule="exact"/>
        <w:ind w:firstLine="289"/>
        <w:jc w:val="both"/>
        <w:rPr>
          <w:rFonts w:ascii="Montserrat" w:eastAsia="Times New Roman" w:hAnsi="Montserrat" w:cs="Arial"/>
          <w:b/>
          <w:sz w:val="22"/>
          <w:szCs w:val="22"/>
          <w:lang w:eastAsia="es-ES"/>
        </w:rPr>
      </w:pPr>
    </w:p>
    <w:p w14:paraId="3B684C55" w14:textId="77777777" w:rsidR="009A021D" w:rsidRPr="00192892" w:rsidRDefault="009A021D" w:rsidP="009A021D">
      <w:pPr>
        <w:tabs>
          <w:tab w:val="left" w:pos="1260"/>
        </w:tabs>
        <w:spacing w:after="120" w:line="224" w:lineRule="exact"/>
        <w:jc w:val="both"/>
        <w:rPr>
          <w:rFonts w:ascii="Montserrat" w:eastAsia="Times New Roman" w:hAnsi="Montserrat" w:cs="Arial"/>
          <w:bCs/>
          <w:sz w:val="22"/>
          <w:szCs w:val="22"/>
          <w:lang w:val="es-MX" w:eastAsia="es-ES"/>
        </w:rPr>
      </w:pPr>
      <w:r w:rsidRPr="00192892">
        <w:rPr>
          <w:rFonts w:ascii="Montserrat" w:eastAsia="Times New Roman" w:hAnsi="Montserrat" w:cs="Arial"/>
          <w:bCs/>
          <w:sz w:val="22"/>
          <w:szCs w:val="22"/>
          <w:lang w:eastAsia="es-ES"/>
        </w:rPr>
        <w:t>En</w:t>
      </w:r>
      <w:r w:rsidRPr="00192892">
        <w:rPr>
          <w:rFonts w:ascii="Montserrat" w:eastAsia="Times New Roman" w:hAnsi="Montserrat" w:cs="Arial"/>
          <w:bCs/>
          <w:sz w:val="22"/>
          <w:szCs w:val="22"/>
          <w:lang w:val="es-MX" w:eastAsia="es-ES"/>
        </w:rPr>
        <w:t xml:space="preserve"> las cuentas de orden presupuestarias, se informa el avance que se registra, previo al cierre presupuestario de cada periodo que se reporta.</w:t>
      </w:r>
    </w:p>
    <w:p w14:paraId="2B451E30" w14:textId="55CCCFA8" w:rsidR="00977E4E" w:rsidRPr="00192892" w:rsidRDefault="009A021D" w:rsidP="009A021D">
      <w:pPr>
        <w:tabs>
          <w:tab w:val="left" w:pos="1260"/>
        </w:tabs>
        <w:spacing w:after="120" w:line="224" w:lineRule="exact"/>
        <w:jc w:val="both"/>
        <w:rPr>
          <w:rFonts w:ascii="Montserrat" w:eastAsia="Times New Roman" w:hAnsi="Montserrat" w:cs="Arial"/>
          <w:bCs/>
          <w:sz w:val="22"/>
          <w:szCs w:val="22"/>
          <w:lang w:val="es-MX" w:eastAsia="es-ES"/>
        </w:rPr>
      </w:pPr>
      <w:r w:rsidRPr="00192892">
        <w:rPr>
          <w:rFonts w:ascii="Montserrat" w:eastAsia="Times New Roman" w:hAnsi="Montserrat" w:cs="Arial"/>
          <w:bCs/>
          <w:sz w:val="22"/>
          <w:szCs w:val="22"/>
          <w:lang w:val="es-MX" w:eastAsia="es-ES"/>
        </w:rPr>
        <w:t>Dichas cifras corresponden al presupuesto total aprobado para el Gobierno del Estado.</w:t>
      </w:r>
    </w:p>
    <w:p w14:paraId="72DE50C0" w14:textId="269B9724" w:rsidR="006F04B3" w:rsidRDefault="006F04B3">
      <w:pPr>
        <w:rPr>
          <w:rFonts w:ascii="Montserrat" w:eastAsia="Times New Roman" w:hAnsi="Montserrat" w:cs="Arial"/>
          <w:bCs/>
          <w:sz w:val="22"/>
          <w:szCs w:val="22"/>
          <w:lang w:val="es-MX" w:eastAsia="es-ES"/>
        </w:rPr>
      </w:pPr>
      <w:r>
        <w:rPr>
          <w:rFonts w:ascii="Montserrat" w:eastAsia="Times New Roman" w:hAnsi="Montserrat" w:cs="Arial"/>
          <w:bCs/>
          <w:sz w:val="22"/>
          <w:szCs w:val="22"/>
          <w:lang w:val="es-MX" w:eastAsia="es-ES"/>
        </w:rPr>
        <w:br w:type="page"/>
      </w:r>
    </w:p>
    <w:p w14:paraId="3A01FA4C" w14:textId="77777777" w:rsidR="009A021D" w:rsidRPr="00192892" w:rsidRDefault="009A021D" w:rsidP="009A021D">
      <w:pPr>
        <w:tabs>
          <w:tab w:val="left" w:pos="1260"/>
        </w:tabs>
        <w:spacing w:after="120" w:line="224" w:lineRule="exact"/>
        <w:jc w:val="both"/>
        <w:rPr>
          <w:rFonts w:ascii="Montserrat" w:eastAsia="Times New Roman" w:hAnsi="Montserrat" w:cs="Arial"/>
          <w:bCs/>
          <w:sz w:val="22"/>
          <w:szCs w:val="22"/>
          <w:lang w:val="es-MX" w:eastAsia="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2410"/>
      </w:tblGrid>
      <w:tr w:rsidR="00FD2DE6" w:rsidRPr="00192892" w14:paraId="242121A3" w14:textId="77777777" w:rsidTr="004B3592">
        <w:tc>
          <w:tcPr>
            <w:tcW w:w="7336" w:type="dxa"/>
            <w:gridSpan w:val="2"/>
            <w:shd w:val="clear" w:color="auto" w:fill="808080" w:themeFill="background1" w:themeFillShade="80"/>
            <w:vAlign w:val="center"/>
          </w:tcPr>
          <w:p w14:paraId="4D85E14D" w14:textId="77777777" w:rsidR="009A021D" w:rsidRPr="00EE0424" w:rsidRDefault="009A021D" w:rsidP="00EE0424">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Cuentas de Orden Presupuestarias de Ingresos</w:t>
            </w:r>
          </w:p>
        </w:tc>
      </w:tr>
      <w:tr w:rsidR="00FD2DE6" w:rsidRPr="00192892" w14:paraId="5C2CD1E4" w14:textId="77777777" w:rsidTr="004B3592">
        <w:tc>
          <w:tcPr>
            <w:tcW w:w="4926" w:type="dxa"/>
            <w:shd w:val="clear" w:color="auto" w:fill="808080" w:themeFill="background1" w:themeFillShade="80"/>
            <w:vAlign w:val="center"/>
          </w:tcPr>
          <w:p w14:paraId="26143BD0" w14:textId="77777777" w:rsidR="009A021D" w:rsidRPr="00EE0424" w:rsidRDefault="009A021D" w:rsidP="00EE0424">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2410" w:type="dxa"/>
            <w:shd w:val="clear" w:color="auto" w:fill="808080" w:themeFill="background1" w:themeFillShade="80"/>
            <w:vAlign w:val="center"/>
          </w:tcPr>
          <w:p w14:paraId="71476CFB" w14:textId="77777777" w:rsidR="009A021D" w:rsidRPr="00EE0424" w:rsidRDefault="009A021D" w:rsidP="00EE0424">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r>
      <w:tr w:rsidR="00F532CF" w:rsidRPr="00192892" w14:paraId="21F2E826" w14:textId="77777777" w:rsidTr="004B3592">
        <w:tc>
          <w:tcPr>
            <w:tcW w:w="4926" w:type="dxa"/>
            <w:shd w:val="clear" w:color="auto" w:fill="auto"/>
            <w:vAlign w:val="center"/>
          </w:tcPr>
          <w:p w14:paraId="3E7D09A5" w14:textId="77777777" w:rsidR="00F532CF" w:rsidRPr="00192892" w:rsidRDefault="00F532CF" w:rsidP="004B3592">
            <w:pPr>
              <w:spacing w:before="60" w:after="60" w:line="216" w:lineRule="exact"/>
              <w:rPr>
                <w:rFonts w:ascii="Montserrat" w:eastAsia="Times New Roman" w:hAnsi="Montserrat" w:cs="Arial"/>
                <w:bCs/>
                <w:sz w:val="22"/>
                <w:szCs w:val="22"/>
                <w:lang w:eastAsia="es-ES"/>
              </w:rPr>
            </w:pPr>
            <w:r w:rsidRPr="00192892">
              <w:rPr>
                <w:rFonts w:ascii="Montserrat" w:eastAsia="Times New Roman" w:hAnsi="Montserrat" w:cs="Arial"/>
                <w:bCs/>
                <w:sz w:val="22"/>
                <w:szCs w:val="22"/>
                <w:lang w:eastAsia="es-ES"/>
              </w:rPr>
              <w:t>Ley de Ingresos Estimada</w:t>
            </w:r>
          </w:p>
        </w:tc>
        <w:tc>
          <w:tcPr>
            <w:tcW w:w="2410" w:type="dxa"/>
            <w:shd w:val="clear" w:color="auto" w:fill="auto"/>
            <w:vAlign w:val="center"/>
          </w:tcPr>
          <w:p w14:paraId="5DE7D568" w14:textId="7F1403A5" w:rsidR="00F532CF" w:rsidRPr="00F532CF" w:rsidRDefault="00F532CF" w:rsidP="004B3592">
            <w:pPr>
              <w:spacing w:before="60" w:after="60"/>
              <w:jc w:val="right"/>
              <w:rPr>
                <w:rFonts w:ascii="Montserrat" w:eastAsia="Times New Roman" w:hAnsi="Montserrat" w:cs="Arial"/>
                <w:bCs/>
                <w:sz w:val="22"/>
                <w:szCs w:val="22"/>
                <w:lang w:eastAsia="es-ES"/>
              </w:rPr>
            </w:pPr>
            <w:r w:rsidRPr="00F532CF">
              <w:rPr>
                <w:rFonts w:ascii="Montserrat" w:eastAsia="Times New Roman" w:hAnsi="Montserrat" w:cs="Arial"/>
                <w:bCs/>
                <w:sz w:val="22"/>
                <w:szCs w:val="22"/>
                <w:lang w:eastAsia="es-ES"/>
              </w:rPr>
              <w:t xml:space="preserve">   111,673,066,217.00 </w:t>
            </w:r>
          </w:p>
        </w:tc>
      </w:tr>
      <w:tr w:rsidR="00F532CF" w:rsidRPr="00192892" w14:paraId="258EE673" w14:textId="77777777" w:rsidTr="004B3592">
        <w:tc>
          <w:tcPr>
            <w:tcW w:w="4926" w:type="dxa"/>
            <w:shd w:val="clear" w:color="auto" w:fill="auto"/>
            <w:vAlign w:val="center"/>
          </w:tcPr>
          <w:p w14:paraId="7EC0CCD2" w14:textId="77777777" w:rsidR="00F532CF" w:rsidRPr="00192892" w:rsidRDefault="00F532CF" w:rsidP="004B3592">
            <w:pPr>
              <w:spacing w:before="60" w:after="60" w:line="216" w:lineRule="exact"/>
              <w:rPr>
                <w:rFonts w:ascii="Montserrat" w:eastAsia="Times New Roman" w:hAnsi="Montserrat" w:cs="Arial"/>
                <w:bCs/>
                <w:sz w:val="22"/>
                <w:szCs w:val="22"/>
                <w:lang w:eastAsia="es-ES"/>
              </w:rPr>
            </w:pPr>
            <w:r w:rsidRPr="00192892">
              <w:rPr>
                <w:rFonts w:ascii="Montserrat" w:eastAsia="Times New Roman" w:hAnsi="Montserrat" w:cs="Arial"/>
                <w:bCs/>
                <w:sz w:val="22"/>
                <w:szCs w:val="22"/>
                <w:lang w:eastAsia="es-ES"/>
              </w:rPr>
              <w:t>Ley de Ingresos por Ejecutar</w:t>
            </w:r>
          </w:p>
        </w:tc>
        <w:tc>
          <w:tcPr>
            <w:tcW w:w="2410" w:type="dxa"/>
            <w:shd w:val="clear" w:color="auto" w:fill="auto"/>
            <w:vAlign w:val="center"/>
          </w:tcPr>
          <w:p w14:paraId="457E9E62" w14:textId="71BA5645" w:rsidR="00F532CF" w:rsidRPr="00352573" w:rsidRDefault="00352573" w:rsidP="00352573">
            <w:pPr>
              <w:jc w:val="right"/>
              <w:rPr>
                <w:rFonts w:ascii="Montserrat" w:eastAsia="Times New Roman" w:hAnsi="Montserrat" w:cs="Arial"/>
                <w:bCs/>
                <w:sz w:val="22"/>
                <w:szCs w:val="22"/>
                <w:lang w:eastAsia="es-ES"/>
              </w:rPr>
            </w:pPr>
            <w:r w:rsidRPr="00352573">
              <w:rPr>
                <w:rFonts w:ascii="Montserrat" w:eastAsia="Times New Roman" w:hAnsi="Montserrat" w:cs="Arial"/>
                <w:bCs/>
                <w:sz w:val="22"/>
                <w:szCs w:val="22"/>
                <w:lang w:eastAsia="es-ES"/>
              </w:rPr>
              <w:t xml:space="preserve">   114,730,689,766.89 </w:t>
            </w:r>
          </w:p>
        </w:tc>
      </w:tr>
      <w:tr w:rsidR="00F532CF" w:rsidRPr="00192892" w14:paraId="5765988D" w14:textId="77777777" w:rsidTr="004B3592">
        <w:tc>
          <w:tcPr>
            <w:tcW w:w="4926" w:type="dxa"/>
            <w:shd w:val="clear" w:color="auto" w:fill="auto"/>
            <w:vAlign w:val="center"/>
          </w:tcPr>
          <w:p w14:paraId="762BA33D" w14:textId="77777777" w:rsidR="00F532CF" w:rsidRPr="00192892" w:rsidRDefault="00F532CF" w:rsidP="004B3592">
            <w:pPr>
              <w:spacing w:before="60" w:after="60" w:line="216" w:lineRule="exact"/>
              <w:rPr>
                <w:rFonts w:ascii="Montserrat" w:eastAsia="Times New Roman" w:hAnsi="Montserrat" w:cs="Arial"/>
                <w:bCs/>
                <w:sz w:val="22"/>
                <w:szCs w:val="22"/>
                <w:lang w:eastAsia="es-ES"/>
              </w:rPr>
            </w:pPr>
            <w:r w:rsidRPr="00192892">
              <w:rPr>
                <w:rFonts w:ascii="Montserrat" w:eastAsia="Times New Roman" w:hAnsi="Montserrat" w:cs="Arial"/>
                <w:bCs/>
                <w:sz w:val="22"/>
                <w:szCs w:val="22"/>
                <w:lang w:eastAsia="es-ES"/>
              </w:rPr>
              <w:t>Modificaciones a la Ley de Ingresos Estimada</w:t>
            </w:r>
          </w:p>
        </w:tc>
        <w:tc>
          <w:tcPr>
            <w:tcW w:w="2410" w:type="dxa"/>
            <w:shd w:val="clear" w:color="auto" w:fill="auto"/>
            <w:vAlign w:val="center"/>
          </w:tcPr>
          <w:p w14:paraId="032256B9" w14:textId="38883641" w:rsidR="00F532CF" w:rsidRPr="00F532CF" w:rsidRDefault="000C4895" w:rsidP="004B3592">
            <w:pPr>
              <w:spacing w:before="60" w:after="60"/>
              <w:jc w:val="right"/>
              <w:rPr>
                <w:rFonts w:ascii="Montserrat" w:eastAsia="Times New Roman" w:hAnsi="Montserrat" w:cs="Arial"/>
                <w:bCs/>
                <w:sz w:val="22"/>
                <w:szCs w:val="22"/>
                <w:lang w:eastAsia="es-ES"/>
              </w:rPr>
            </w:pPr>
            <w:r>
              <w:rPr>
                <w:rFonts w:ascii="Montserrat" w:eastAsia="Times New Roman" w:hAnsi="Montserrat" w:cs="Arial"/>
                <w:bCs/>
                <w:sz w:val="22"/>
                <w:szCs w:val="22"/>
                <w:lang w:eastAsia="es-ES"/>
              </w:rPr>
              <w:t>0.00</w:t>
            </w:r>
          </w:p>
        </w:tc>
      </w:tr>
      <w:tr w:rsidR="00352573" w:rsidRPr="00192892" w14:paraId="400DF065" w14:textId="77777777" w:rsidTr="00EB17D2">
        <w:tc>
          <w:tcPr>
            <w:tcW w:w="4926" w:type="dxa"/>
            <w:shd w:val="clear" w:color="auto" w:fill="auto"/>
            <w:vAlign w:val="center"/>
          </w:tcPr>
          <w:p w14:paraId="6F9A2C8B" w14:textId="77777777" w:rsidR="00352573" w:rsidRPr="00192892" w:rsidRDefault="00352573" w:rsidP="00352573">
            <w:pPr>
              <w:spacing w:before="60" w:after="60" w:line="216" w:lineRule="exact"/>
              <w:rPr>
                <w:rFonts w:ascii="Montserrat" w:eastAsia="Times New Roman" w:hAnsi="Montserrat" w:cs="Arial"/>
                <w:bCs/>
                <w:sz w:val="22"/>
                <w:szCs w:val="22"/>
                <w:lang w:eastAsia="es-ES"/>
              </w:rPr>
            </w:pPr>
            <w:r w:rsidRPr="00192892">
              <w:rPr>
                <w:rFonts w:ascii="Montserrat" w:eastAsia="Times New Roman" w:hAnsi="Montserrat" w:cs="Arial"/>
                <w:bCs/>
                <w:sz w:val="22"/>
                <w:szCs w:val="22"/>
                <w:lang w:eastAsia="es-ES"/>
              </w:rPr>
              <w:t>Ley de Ingresos Devengada</w:t>
            </w:r>
          </w:p>
        </w:tc>
        <w:tc>
          <w:tcPr>
            <w:tcW w:w="2410" w:type="dxa"/>
            <w:shd w:val="clear" w:color="auto" w:fill="auto"/>
            <w:vAlign w:val="bottom"/>
          </w:tcPr>
          <w:p w14:paraId="08ABC0BE" w14:textId="6F6CD3A4" w:rsidR="00352573" w:rsidRPr="00192892" w:rsidRDefault="00352573" w:rsidP="00352573">
            <w:pPr>
              <w:spacing w:before="60" w:after="60"/>
              <w:jc w:val="right"/>
              <w:rPr>
                <w:rFonts w:ascii="Montserrat" w:eastAsia="Times New Roman" w:hAnsi="Montserrat" w:cs="Arial"/>
                <w:bCs/>
                <w:sz w:val="22"/>
                <w:szCs w:val="22"/>
                <w:lang w:eastAsia="es-ES"/>
              </w:rPr>
            </w:pPr>
            <w:r w:rsidRPr="00352573">
              <w:rPr>
                <w:rFonts w:ascii="Montserrat" w:eastAsia="Times New Roman" w:hAnsi="Montserrat" w:cs="Arial"/>
                <w:bCs/>
                <w:sz w:val="22"/>
                <w:szCs w:val="22"/>
                <w:lang w:eastAsia="es-ES"/>
              </w:rPr>
              <w:t xml:space="preserve">   128,780,136,097.48 </w:t>
            </w:r>
          </w:p>
        </w:tc>
      </w:tr>
      <w:tr w:rsidR="00352573" w:rsidRPr="00192892" w14:paraId="103724B9" w14:textId="77777777" w:rsidTr="00EB17D2">
        <w:tc>
          <w:tcPr>
            <w:tcW w:w="4926" w:type="dxa"/>
            <w:shd w:val="clear" w:color="auto" w:fill="auto"/>
            <w:vAlign w:val="center"/>
          </w:tcPr>
          <w:p w14:paraId="71CC3572" w14:textId="77777777" w:rsidR="00352573" w:rsidRPr="00192892" w:rsidRDefault="00352573" w:rsidP="00352573">
            <w:pPr>
              <w:spacing w:before="60" w:after="60" w:line="216" w:lineRule="exact"/>
              <w:rPr>
                <w:rFonts w:ascii="Montserrat" w:eastAsia="Times New Roman" w:hAnsi="Montserrat" w:cs="Arial"/>
                <w:bCs/>
                <w:sz w:val="22"/>
                <w:szCs w:val="22"/>
                <w:lang w:eastAsia="es-ES"/>
              </w:rPr>
            </w:pPr>
            <w:r w:rsidRPr="00192892">
              <w:rPr>
                <w:rFonts w:ascii="Montserrat" w:eastAsia="Times New Roman" w:hAnsi="Montserrat" w:cs="Arial"/>
                <w:bCs/>
                <w:sz w:val="22"/>
                <w:szCs w:val="22"/>
                <w:lang w:eastAsia="es-ES"/>
              </w:rPr>
              <w:t>Ley de Ingresos Recaudada</w:t>
            </w:r>
          </w:p>
        </w:tc>
        <w:tc>
          <w:tcPr>
            <w:tcW w:w="2410" w:type="dxa"/>
            <w:shd w:val="clear" w:color="auto" w:fill="auto"/>
            <w:vAlign w:val="bottom"/>
          </w:tcPr>
          <w:p w14:paraId="422B3FB0" w14:textId="3D00213B" w:rsidR="00352573" w:rsidRPr="00F532CF" w:rsidRDefault="00352573" w:rsidP="00352573">
            <w:pPr>
              <w:spacing w:before="60" w:after="60"/>
              <w:jc w:val="right"/>
              <w:rPr>
                <w:rFonts w:ascii="Montserrat" w:eastAsia="Times New Roman" w:hAnsi="Montserrat" w:cs="Arial"/>
                <w:bCs/>
                <w:sz w:val="22"/>
                <w:szCs w:val="22"/>
                <w:lang w:eastAsia="es-ES"/>
              </w:rPr>
            </w:pPr>
            <w:r w:rsidRPr="00352573">
              <w:rPr>
                <w:rFonts w:ascii="Montserrat" w:eastAsia="Times New Roman" w:hAnsi="Montserrat" w:cs="Arial"/>
                <w:bCs/>
                <w:sz w:val="22"/>
                <w:szCs w:val="22"/>
                <w:lang w:eastAsia="es-ES"/>
              </w:rPr>
              <w:t xml:space="preserve">    125,722,560,174.93 </w:t>
            </w:r>
          </w:p>
        </w:tc>
      </w:tr>
    </w:tbl>
    <w:p w14:paraId="2E888242" w14:textId="77777777" w:rsidR="009A021D" w:rsidRPr="00192892" w:rsidRDefault="009A021D" w:rsidP="009A021D">
      <w:pPr>
        <w:spacing w:after="120" w:line="224" w:lineRule="exact"/>
        <w:jc w:val="both"/>
        <w:rPr>
          <w:rFonts w:ascii="Montserrat" w:eastAsia="Times New Roman" w:hAnsi="Montserrat" w:cs="Arial"/>
          <w:bCs/>
          <w:sz w:val="22"/>
          <w:szCs w:val="22"/>
          <w:lang w:val="es-MX" w:eastAsia="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2424"/>
      </w:tblGrid>
      <w:tr w:rsidR="00FD2DE6" w:rsidRPr="00192892" w14:paraId="7E5D581F" w14:textId="77777777" w:rsidTr="004B3002">
        <w:tc>
          <w:tcPr>
            <w:tcW w:w="7350" w:type="dxa"/>
            <w:gridSpan w:val="2"/>
            <w:shd w:val="clear" w:color="auto" w:fill="808080" w:themeFill="background1" w:themeFillShade="80"/>
          </w:tcPr>
          <w:p w14:paraId="4CF8C2FE" w14:textId="2BAC223A" w:rsidR="00447E14" w:rsidRPr="00EE0424" w:rsidRDefault="009A021D" w:rsidP="00EE0424">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br w:type="page"/>
            </w:r>
            <w:r w:rsidR="00447E14" w:rsidRPr="00EE0424">
              <w:rPr>
                <w:rFonts w:eastAsia="Times New Roman" w:cs="Times New Roman"/>
                <w:b/>
                <w:bCs/>
                <w:color w:val="FFFFFF" w:themeColor="background1"/>
                <w:sz w:val="22"/>
                <w:szCs w:val="22"/>
                <w:lang w:val="es-MX"/>
              </w:rPr>
              <w:t>Cuentas de Orden Presupuestarias de Egresos</w:t>
            </w:r>
          </w:p>
        </w:tc>
      </w:tr>
      <w:tr w:rsidR="00FD2DE6" w:rsidRPr="00192892" w14:paraId="14717778" w14:textId="77777777" w:rsidTr="004B3002">
        <w:tc>
          <w:tcPr>
            <w:tcW w:w="4926" w:type="dxa"/>
            <w:shd w:val="clear" w:color="auto" w:fill="808080" w:themeFill="background1" w:themeFillShade="80"/>
          </w:tcPr>
          <w:p w14:paraId="5E0A92E6" w14:textId="77777777" w:rsidR="00447E14" w:rsidRPr="00EE0424" w:rsidRDefault="00447E14" w:rsidP="00EE0424">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Concepto</w:t>
            </w:r>
          </w:p>
        </w:tc>
        <w:tc>
          <w:tcPr>
            <w:tcW w:w="2424" w:type="dxa"/>
            <w:shd w:val="clear" w:color="auto" w:fill="808080" w:themeFill="background1" w:themeFillShade="80"/>
          </w:tcPr>
          <w:p w14:paraId="56B26249" w14:textId="77777777" w:rsidR="00447E14" w:rsidRPr="00EE0424" w:rsidRDefault="00447E14" w:rsidP="00EE0424">
            <w:pPr>
              <w:jc w:val="center"/>
              <w:rPr>
                <w:rFonts w:eastAsia="Times New Roman" w:cs="Times New Roman"/>
                <w:b/>
                <w:bCs/>
                <w:color w:val="FFFFFF" w:themeColor="background1"/>
                <w:sz w:val="22"/>
                <w:szCs w:val="22"/>
                <w:lang w:val="es-MX"/>
              </w:rPr>
            </w:pPr>
            <w:r w:rsidRPr="00EE0424">
              <w:rPr>
                <w:rFonts w:eastAsia="Times New Roman" w:cs="Times New Roman"/>
                <w:b/>
                <w:bCs/>
                <w:color w:val="FFFFFF" w:themeColor="background1"/>
                <w:sz w:val="22"/>
                <w:szCs w:val="22"/>
                <w:lang w:val="es-MX"/>
              </w:rPr>
              <w:t>2024</w:t>
            </w:r>
          </w:p>
        </w:tc>
      </w:tr>
      <w:tr w:rsidR="00F532CF" w:rsidRPr="00192892" w14:paraId="23A3F51B" w14:textId="77777777" w:rsidTr="004B3592">
        <w:trPr>
          <w:trHeight w:val="198"/>
        </w:trPr>
        <w:tc>
          <w:tcPr>
            <w:tcW w:w="4926" w:type="dxa"/>
            <w:shd w:val="clear" w:color="auto" w:fill="auto"/>
            <w:vAlign w:val="center"/>
          </w:tcPr>
          <w:p w14:paraId="6000EE1D" w14:textId="77777777" w:rsidR="00F532CF" w:rsidRPr="00192892" w:rsidRDefault="00F532CF" w:rsidP="004B3592">
            <w:pPr>
              <w:spacing w:before="60" w:after="60" w:line="216" w:lineRule="exact"/>
              <w:rPr>
                <w:rFonts w:ascii="Montserrat" w:hAnsi="Montserrat" w:cs="Arial"/>
                <w:bCs/>
                <w:sz w:val="22"/>
                <w:szCs w:val="22"/>
              </w:rPr>
            </w:pPr>
            <w:r w:rsidRPr="00192892">
              <w:rPr>
                <w:rFonts w:ascii="Montserrat" w:hAnsi="Montserrat" w:cs="Arial"/>
                <w:bCs/>
                <w:sz w:val="22"/>
                <w:szCs w:val="22"/>
              </w:rPr>
              <w:t>Presupuesto de Egresos Aprobado</w:t>
            </w:r>
          </w:p>
        </w:tc>
        <w:tc>
          <w:tcPr>
            <w:tcW w:w="2424" w:type="dxa"/>
            <w:shd w:val="clear" w:color="auto" w:fill="auto"/>
            <w:vAlign w:val="center"/>
          </w:tcPr>
          <w:p w14:paraId="1EBBBF3B" w14:textId="0ABD0905" w:rsidR="00F532CF" w:rsidRPr="00F532CF" w:rsidRDefault="00F532CF" w:rsidP="004B3592">
            <w:pPr>
              <w:spacing w:before="60" w:after="60"/>
              <w:jc w:val="right"/>
              <w:rPr>
                <w:rFonts w:ascii="Montserrat" w:eastAsia="Times New Roman" w:hAnsi="Montserrat" w:cs="Arial"/>
                <w:bCs/>
                <w:sz w:val="22"/>
                <w:szCs w:val="22"/>
                <w:lang w:eastAsia="es-ES"/>
              </w:rPr>
            </w:pPr>
            <w:r w:rsidRPr="00F532CF">
              <w:rPr>
                <w:rFonts w:ascii="Montserrat" w:eastAsia="Times New Roman" w:hAnsi="Montserrat" w:cs="Arial"/>
                <w:bCs/>
                <w:sz w:val="22"/>
                <w:szCs w:val="22"/>
                <w:lang w:eastAsia="es-ES"/>
              </w:rPr>
              <w:t xml:space="preserve">     99,619,332,375.00 </w:t>
            </w:r>
          </w:p>
        </w:tc>
      </w:tr>
      <w:tr w:rsidR="00F532CF" w:rsidRPr="00192892" w14:paraId="59E7FC9E" w14:textId="77777777" w:rsidTr="004B3592">
        <w:tc>
          <w:tcPr>
            <w:tcW w:w="4926" w:type="dxa"/>
            <w:shd w:val="clear" w:color="auto" w:fill="auto"/>
            <w:vAlign w:val="center"/>
          </w:tcPr>
          <w:p w14:paraId="63FEC8E6" w14:textId="77777777" w:rsidR="00F532CF" w:rsidRPr="00192892" w:rsidRDefault="00F532CF" w:rsidP="004B3592">
            <w:pPr>
              <w:spacing w:before="60" w:after="60" w:line="216" w:lineRule="exact"/>
              <w:rPr>
                <w:rFonts w:ascii="Montserrat" w:hAnsi="Montserrat" w:cs="Arial"/>
                <w:bCs/>
                <w:sz w:val="22"/>
                <w:szCs w:val="22"/>
              </w:rPr>
            </w:pPr>
            <w:r w:rsidRPr="00192892">
              <w:rPr>
                <w:rFonts w:ascii="Montserrat" w:hAnsi="Montserrat" w:cs="Arial"/>
                <w:bCs/>
                <w:sz w:val="22"/>
                <w:szCs w:val="22"/>
              </w:rPr>
              <w:t>Presupuesto de Egresos por Ejercer</w:t>
            </w:r>
          </w:p>
        </w:tc>
        <w:tc>
          <w:tcPr>
            <w:tcW w:w="2424" w:type="dxa"/>
            <w:shd w:val="clear" w:color="auto" w:fill="auto"/>
            <w:vAlign w:val="center"/>
          </w:tcPr>
          <w:p w14:paraId="406E1352" w14:textId="2386B15C" w:rsidR="00F532CF" w:rsidRPr="00F532CF" w:rsidRDefault="00F532CF" w:rsidP="004B3592">
            <w:pPr>
              <w:spacing w:before="60" w:after="60"/>
              <w:jc w:val="right"/>
              <w:rPr>
                <w:rFonts w:ascii="Montserrat" w:eastAsia="Times New Roman" w:hAnsi="Montserrat" w:cs="Arial"/>
                <w:bCs/>
                <w:sz w:val="22"/>
                <w:szCs w:val="22"/>
                <w:lang w:eastAsia="es-ES"/>
              </w:rPr>
            </w:pPr>
            <w:r w:rsidRPr="00F532CF">
              <w:rPr>
                <w:rFonts w:ascii="Montserrat" w:eastAsia="Times New Roman" w:hAnsi="Montserrat" w:cs="Arial"/>
                <w:bCs/>
                <w:sz w:val="22"/>
                <w:szCs w:val="22"/>
                <w:lang w:eastAsia="es-ES"/>
              </w:rPr>
              <w:t xml:space="preserve">   </w:t>
            </w:r>
            <w:r w:rsidR="00352573" w:rsidRPr="00352573">
              <w:rPr>
                <w:rFonts w:ascii="Montserrat" w:eastAsia="Times New Roman" w:hAnsi="Montserrat" w:cs="Arial"/>
                <w:bCs/>
                <w:sz w:val="22"/>
                <w:szCs w:val="22"/>
                <w:lang w:eastAsia="es-ES"/>
              </w:rPr>
              <w:t>19,332,773,497.65</w:t>
            </w:r>
            <w:r w:rsidRPr="00F532CF">
              <w:rPr>
                <w:rFonts w:ascii="Montserrat" w:eastAsia="Times New Roman" w:hAnsi="Montserrat" w:cs="Arial"/>
                <w:bCs/>
                <w:sz w:val="22"/>
                <w:szCs w:val="22"/>
                <w:lang w:eastAsia="es-ES"/>
              </w:rPr>
              <w:t xml:space="preserve"> </w:t>
            </w:r>
          </w:p>
        </w:tc>
      </w:tr>
      <w:tr w:rsidR="00F532CF" w:rsidRPr="00192892" w14:paraId="45F7A2D4" w14:textId="77777777" w:rsidTr="004B3592">
        <w:tc>
          <w:tcPr>
            <w:tcW w:w="4926" w:type="dxa"/>
            <w:shd w:val="clear" w:color="auto" w:fill="auto"/>
            <w:vAlign w:val="center"/>
          </w:tcPr>
          <w:p w14:paraId="33D30C58" w14:textId="77777777" w:rsidR="00F532CF" w:rsidRPr="00192892" w:rsidRDefault="00F532CF" w:rsidP="004B3592">
            <w:pPr>
              <w:spacing w:before="60" w:after="60" w:line="216" w:lineRule="exact"/>
              <w:rPr>
                <w:rFonts w:ascii="Montserrat" w:hAnsi="Montserrat" w:cs="Arial"/>
                <w:bCs/>
                <w:sz w:val="22"/>
                <w:szCs w:val="22"/>
              </w:rPr>
            </w:pPr>
            <w:r w:rsidRPr="00192892">
              <w:rPr>
                <w:rFonts w:ascii="Montserrat" w:hAnsi="Montserrat" w:cs="Arial"/>
                <w:bCs/>
                <w:sz w:val="22"/>
                <w:szCs w:val="22"/>
              </w:rPr>
              <w:t>Modificaciones al Presupuesto de Egresos Aprobado</w:t>
            </w:r>
          </w:p>
        </w:tc>
        <w:tc>
          <w:tcPr>
            <w:tcW w:w="2424" w:type="dxa"/>
            <w:shd w:val="clear" w:color="auto" w:fill="auto"/>
            <w:vAlign w:val="center"/>
          </w:tcPr>
          <w:p w14:paraId="428D68BB" w14:textId="192B9D48" w:rsidR="00F532CF" w:rsidRPr="00F532CF" w:rsidRDefault="00F532CF" w:rsidP="004B3592">
            <w:pPr>
              <w:spacing w:before="60" w:after="60"/>
              <w:jc w:val="right"/>
              <w:rPr>
                <w:rFonts w:ascii="Montserrat" w:eastAsia="Times New Roman" w:hAnsi="Montserrat" w:cs="Arial"/>
                <w:bCs/>
                <w:sz w:val="22"/>
                <w:szCs w:val="22"/>
                <w:lang w:eastAsia="es-ES"/>
              </w:rPr>
            </w:pPr>
            <w:r w:rsidRPr="00F532CF">
              <w:rPr>
                <w:rFonts w:ascii="Montserrat" w:eastAsia="Times New Roman" w:hAnsi="Montserrat" w:cs="Arial"/>
                <w:bCs/>
                <w:sz w:val="22"/>
                <w:szCs w:val="22"/>
                <w:lang w:eastAsia="es-ES"/>
              </w:rPr>
              <w:t xml:space="preserve">     </w:t>
            </w:r>
            <w:r w:rsidR="00352573" w:rsidRPr="00352573">
              <w:rPr>
                <w:rFonts w:ascii="Montserrat" w:eastAsia="Times New Roman" w:hAnsi="Montserrat" w:cs="Arial"/>
                <w:bCs/>
                <w:sz w:val="22"/>
                <w:szCs w:val="22"/>
                <w:lang w:eastAsia="es-ES"/>
              </w:rPr>
              <w:t>43,318,032,962.64</w:t>
            </w:r>
            <w:r w:rsidRPr="00F532CF">
              <w:rPr>
                <w:rFonts w:ascii="Montserrat" w:eastAsia="Times New Roman" w:hAnsi="Montserrat" w:cs="Arial"/>
                <w:bCs/>
                <w:sz w:val="22"/>
                <w:szCs w:val="22"/>
                <w:lang w:eastAsia="es-ES"/>
              </w:rPr>
              <w:t xml:space="preserve"> </w:t>
            </w:r>
          </w:p>
        </w:tc>
      </w:tr>
      <w:tr w:rsidR="00352573" w:rsidRPr="00192892" w14:paraId="659B8515" w14:textId="77777777" w:rsidTr="00BB7099">
        <w:trPr>
          <w:trHeight w:val="405"/>
        </w:trPr>
        <w:tc>
          <w:tcPr>
            <w:tcW w:w="4926" w:type="dxa"/>
            <w:shd w:val="clear" w:color="auto" w:fill="auto"/>
            <w:vAlign w:val="center"/>
          </w:tcPr>
          <w:p w14:paraId="482E7123" w14:textId="3CCA512C" w:rsidR="00352573" w:rsidRPr="00192892" w:rsidRDefault="00352573" w:rsidP="00352573">
            <w:pPr>
              <w:spacing w:before="60" w:after="60" w:line="216" w:lineRule="exact"/>
              <w:rPr>
                <w:rFonts w:ascii="Montserrat" w:hAnsi="Montserrat" w:cs="Arial"/>
                <w:bCs/>
                <w:sz w:val="22"/>
                <w:szCs w:val="22"/>
              </w:rPr>
            </w:pPr>
            <w:r w:rsidRPr="00192892">
              <w:rPr>
                <w:rFonts w:ascii="Montserrat" w:hAnsi="Montserrat" w:cs="Arial"/>
                <w:bCs/>
                <w:sz w:val="22"/>
                <w:szCs w:val="22"/>
              </w:rPr>
              <w:t>Presupuesto de Egresos Comprometido</w:t>
            </w:r>
          </w:p>
        </w:tc>
        <w:tc>
          <w:tcPr>
            <w:tcW w:w="2424" w:type="dxa"/>
            <w:shd w:val="clear" w:color="auto" w:fill="auto"/>
          </w:tcPr>
          <w:p w14:paraId="38B7288D" w14:textId="7A9978D7" w:rsidR="00352573" w:rsidRPr="00F532CF" w:rsidRDefault="00352573" w:rsidP="00352573">
            <w:pPr>
              <w:spacing w:before="60" w:after="60"/>
              <w:jc w:val="right"/>
              <w:rPr>
                <w:rFonts w:ascii="Montserrat" w:eastAsia="Times New Roman" w:hAnsi="Montserrat" w:cs="Arial"/>
                <w:bCs/>
                <w:sz w:val="22"/>
                <w:szCs w:val="22"/>
                <w:lang w:eastAsia="es-ES"/>
              </w:rPr>
            </w:pPr>
            <w:r w:rsidRPr="00352573">
              <w:rPr>
                <w:rFonts w:ascii="Montserrat" w:eastAsia="Times New Roman" w:hAnsi="Montserrat" w:cs="Arial"/>
                <w:bCs/>
                <w:sz w:val="22"/>
                <w:szCs w:val="22"/>
                <w:lang w:eastAsia="es-ES"/>
              </w:rPr>
              <w:t xml:space="preserve"> 123,604,591,839.99 </w:t>
            </w:r>
          </w:p>
        </w:tc>
      </w:tr>
      <w:tr w:rsidR="00352573" w:rsidRPr="00192892" w14:paraId="6FD7C062" w14:textId="77777777" w:rsidTr="00BB7099">
        <w:tc>
          <w:tcPr>
            <w:tcW w:w="4926" w:type="dxa"/>
            <w:shd w:val="clear" w:color="auto" w:fill="auto"/>
            <w:vAlign w:val="center"/>
          </w:tcPr>
          <w:p w14:paraId="1A4D6AFF" w14:textId="77777777" w:rsidR="00352573" w:rsidRPr="00192892" w:rsidRDefault="00352573" w:rsidP="00352573">
            <w:pPr>
              <w:spacing w:before="60" w:after="60" w:line="216" w:lineRule="exact"/>
              <w:rPr>
                <w:rFonts w:ascii="Montserrat" w:hAnsi="Montserrat" w:cs="Arial"/>
                <w:bCs/>
                <w:sz w:val="22"/>
                <w:szCs w:val="22"/>
              </w:rPr>
            </w:pPr>
            <w:r w:rsidRPr="00192892">
              <w:rPr>
                <w:rFonts w:ascii="Montserrat" w:hAnsi="Montserrat" w:cs="Arial"/>
                <w:bCs/>
                <w:sz w:val="22"/>
                <w:szCs w:val="22"/>
              </w:rPr>
              <w:t>Presupuesto de Egresos Devengado</w:t>
            </w:r>
          </w:p>
        </w:tc>
        <w:tc>
          <w:tcPr>
            <w:tcW w:w="2424" w:type="dxa"/>
            <w:shd w:val="clear" w:color="auto" w:fill="auto"/>
          </w:tcPr>
          <w:p w14:paraId="270E6F7C" w14:textId="45C29CEA" w:rsidR="00352573" w:rsidRPr="00F532CF" w:rsidRDefault="00352573" w:rsidP="00352573">
            <w:pPr>
              <w:spacing w:before="60" w:after="60"/>
              <w:jc w:val="right"/>
              <w:rPr>
                <w:rFonts w:ascii="Montserrat" w:eastAsia="Times New Roman" w:hAnsi="Montserrat" w:cs="Arial"/>
                <w:bCs/>
                <w:sz w:val="22"/>
                <w:szCs w:val="22"/>
                <w:lang w:eastAsia="es-ES"/>
              </w:rPr>
            </w:pPr>
            <w:r w:rsidRPr="00352573">
              <w:rPr>
                <w:rFonts w:ascii="Montserrat" w:eastAsia="Times New Roman" w:hAnsi="Montserrat" w:cs="Arial"/>
                <w:bCs/>
                <w:sz w:val="22"/>
                <w:szCs w:val="22"/>
                <w:lang w:eastAsia="es-ES"/>
              </w:rPr>
              <w:t xml:space="preserve"> 121,051,855,793.22 </w:t>
            </w:r>
          </w:p>
        </w:tc>
      </w:tr>
      <w:tr w:rsidR="00352573" w:rsidRPr="00192892" w14:paraId="4505D8B8" w14:textId="77777777" w:rsidTr="00BB7099">
        <w:tc>
          <w:tcPr>
            <w:tcW w:w="4926" w:type="dxa"/>
            <w:shd w:val="clear" w:color="auto" w:fill="auto"/>
            <w:vAlign w:val="center"/>
          </w:tcPr>
          <w:p w14:paraId="42FC75B9" w14:textId="77777777" w:rsidR="00352573" w:rsidRPr="00192892" w:rsidRDefault="00352573" w:rsidP="00352573">
            <w:pPr>
              <w:spacing w:before="60" w:after="60" w:line="216" w:lineRule="exact"/>
              <w:rPr>
                <w:rFonts w:ascii="Montserrat" w:hAnsi="Montserrat" w:cs="Arial"/>
                <w:bCs/>
                <w:sz w:val="22"/>
                <w:szCs w:val="22"/>
              </w:rPr>
            </w:pPr>
            <w:r w:rsidRPr="00192892">
              <w:rPr>
                <w:rFonts w:ascii="Montserrat" w:hAnsi="Montserrat" w:cs="Arial"/>
                <w:bCs/>
                <w:sz w:val="22"/>
                <w:szCs w:val="22"/>
              </w:rPr>
              <w:t>Presupuesto de Egresos Ejercido</w:t>
            </w:r>
          </w:p>
        </w:tc>
        <w:tc>
          <w:tcPr>
            <w:tcW w:w="2424" w:type="dxa"/>
            <w:shd w:val="clear" w:color="auto" w:fill="auto"/>
          </w:tcPr>
          <w:p w14:paraId="6A3D1970" w14:textId="71F5F5B9" w:rsidR="00352573" w:rsidRPr="00F532CF" w:rsidRDefault="00352573" w:rsidP="00352573">
            <w:pPr>
              <w:spacing w:before="60" w:after="60"/>
              <w:jc w:val="right"/>
              <w:rPr>
                <w:rFonts w:ascii="Montserrat" w:eastAsia="Times New Roman" w:hAnsi="Montserrat" w:cs="Arial"/>
                <w:bCs/>
                <w:sz w:val="22"/>
                <w:szCs w:val="22"/>
                <w:lang w:eastAsia="es-ES"/>
              </w:rPr>
            </w:pPr>
            <w:r w:rsidRPr="00352573">
              <w:rPr>
                <w:rFonts w:ascii="Montserrat" w:eastAsia="Times New Roman" w:hAnsi="Montserrat" w:cs="Arial"/>
                <w:bCs/>
                <w:sz w:val="22"/>
                <w:szCs w:val="22"/>
                <w:lang w:eastAsia="es-ES"/>
              </w:rPr>
              <w:t xml:space="preserve"> 121,049,650,519.01 </w:t>
            </w:r>
          </w:p>
        </w:tc>
      </w:tr>
      <w:tr w:rsidR="00352573" w:rsidRPr="00192892" w14:paraId="73FF130F" w14:textId="77777777" w:rsidTr="00BB7099">
        <w:tc>
          <w:tcPr>
            <w:tcW w:w="4926" w:type="dxa"/>
            <w:shd w:val="clear" w:color="auto" w:fill="auto"/>
            <w:vAlign w:val="center"/>
          </w:tcPr>
          <w:p w14:paraId="0C57EE6D" w14:textId="77777777" w:rsidR="00352573" w:rsidRPr="00192892" w:rsidRDefault="00352573" w:rsidP="00352573">
            <w:pPr>
              <w:spacing w:before="60" w:after="60" w:line="216" w:lineRule="exact"/>
              <w:rPr>
                <w:rFonts w:ascii="Montserrat" w:hAnsi="Montserrat" w:cs="Arial"/>
                <w:bCs/>
                <w:sz w:val="22"/>
                <w:szCs w:val="22"/>
              </w:rPr>
            </w:pPr>
            <w:r w:rsidRPr="00192892">
              <w:rPr>
                <w:rFonts w:ascii="Montserrat" w:hAnsi="Montserrat" w:cs="Arial"/>
                <w:bCs/>
                <w:sz w:val="22"/>
                <w:szCs w:val="22"/>
              </w:rPr>
              <w:t>Presupuesto de Egresos Pagado</w:t>
            </w:r>
          </w:p>
        </w:tc>
        <w:tc>
          <w:tcPr>
            <w:tcW w:w="2424" w:type="dxa"/>
            <w:shd w:val="clear" w:color="auto" w:fill="auto"/>
          </w:tcPr>
          <w:p w14:paraId="24628E70" w14:textId="5C09462C" w:rsidR="00352573" w:rsidRPr="00F532CF" w:rsidRDefault="00352573" w:rsidP="00352573">
            <w:pPr>
              <w:spacing w:before="60" w:after="60"/>
              <w:jc w:val="right"/>
              <w:rPr>
                <w:rFonts w:ascii="Montserrat" w:eastAsia="Times New Roman" w:hAnsi="Montserrat" w:cs="Arial"/>
                <w:bCs/>
                <w:sz w:val="22"/>
                <w:szCs w:val="22"/>
                <w:lang w:eastAsia="es-ES"/>
              </w:rPr>
            </w:pPr>
            <w:r w:rsidRPr="00352573">
              <w:rPr>
                <w:rFonts w:ascii="Montserrat" w:eastAsia="Times New Roman" w:hAnsi="Montserrat" w:cs="Arial"/>
                <w:bCs/>
                <w:sz w:val="22"/>
                <w:szCs w:val="22"/>
                <w:lang w:eastAsia="es-ES"/>
              </w:rPr>
              <w:t xml:space="preserve"> 120,154,888,352.14 </w:t>
            </w:r>
          </w:p>
        </w:tc>
      </w:tr>
    </w:tbl>
    <w:p w14:paraId="4719E37C" w14:textId="77777777" w:rsidR="00447E14" w:rsidRPr="00192892" w:rsidRDefault="00447E14" w:rsidP="009A021D">
      <w:pPr>
        <w:spacing w:after="120" w:line="224" w:lineRule="exact"/>
        <w:jc w:val="both"/>
        <w:rPr>
          <w:rFonts w:ascii="Montserrat" w:eastAsia="Times New Roman" w:hAnsi="Montserrat" w:cs="Arial"/>
          <w:bCs/>
          <w:sz w:val="22"/>
          <w:szCs w:val="22"/>
          <w:lang w:val="es-MX" w:eastAsia="es-ES"/>
        </w:rPr>
      </w:pPr>
    </w:p>
    <w:p w14:paraId="4738D421" w14:textId="77777777" w:rsidR="00447E14" w:rsidRPr="00192892" w:rsidRDefault="00447E14" w:rsidP="009A021D">
      <w:pPr>
        <w:spacing w:after="120" w:line="224" w:lineRule="exact"/>
        <w:jc w:val="both"/>
        <w:rPr>
          <w:rFonts w:ascii="Montserrat" w:eastAsia="Times New Roman" w:hAnsi="Montserrat" w:cs="Arial"/>
          <w:bCs/>
          <w:sz w:val="22"/>
          <w:szCs w:val="22"/>
          <w:lang w:val="es-MX" w:eastAsia="es-ES"/>
        </w:rPr>
      </w:pPr>
    </w:p>
    <w:p w14:paraId="6A2EC5C9" w14:textId="77777777" w:rsidR="00447E14" w:rsidRPr="00192892" w:rsidRDefault="00447E14" w:rsidP="009A021D">
      <w:pPr>
        <w:spacing w:after="120" w:line="224" w:lineRule="exact"/>
        <w:jc w:val="both"/>
        <w:rPr>
          <w:rFonts w:ascii="Montserrat" w:eastAsia="Times New Roman" w:hAnsi="Montserrat" w:cs="Arial"/>
          <w:bCs/>
          <w:sz w:val="22"/>
          <w:szCs w:val="22"/>
          <w:lang w:val="es-MX" w:eastAsia="es-ES"/>
        </w:rPr>
      </w:pPr>
    </w:p>
    <w:p w14:paraId="04E294D9" w14:textId="77777777" w:rsidR="009A021D" w:rsidRPr="00FD2DE6" w:rsidRDefault="009A021D" w:rsidP="009A021D">
      <w:pPr>
        <w:jc w:val="center"/>
        <w:rPr>
          <w:rFonts w:ascii="Montserrat" w:hAnsi="Montserrat"/>
          <w:b/>
        </w:rPr>
      </w:pPr>
    </w:p>
    <w:p w14:paraId="0374FC9D" w14:textId="77777777" w:rsidR="009A021D" w:rsidRPr="00FD2DE6" w:rsidRDefault="009A021D" w:rsidP="009A021D">
      <w:pPr>
        <w:tabs>
          <w:tab w:val="left" w:pos="7260"/>
        </w:tabs>
        <w:jc w:val="both"/>
        <w:rPr>
          <w:rFonts w:ascii="Montserrat" w:eastAsia="Times New Roman" w:hAnsi="Montserrat" w:cs="Arial"/>
        </w:rPr>
      </w:pPr>
    </w:p>
    <w:p w14:paraId="481787AF" w14:textId="77777777" w:rsidR="009A021D" w:rsidRPr="00FD2DE6" w:rsidRDefault="009A021D" w:rsidP="00EE0424">
      <w:pPr>
        <w:jc w:val="center"/>
        <w:rPr>
          <w:rFonts w:ascii="Montserrat" w:hAnsi="Montserrat"/>
        </w:rPr>
      </w:pPr>
    </w:p>
    <w:sectPr w:rsidR="009A021D" w:rsidRPr="00FD2DE6" w:rsidSect="00862C05">
      <w:headerReference w:type="even" r:id="rId22"/>
      <w:headerReference w:type="default" r:id="rId23"/>
      <w:footerReference w:type="even" r:id="rId24"/>
      <w:footerReference w:type="default" r:id="rId25"/>
      <w:pgSz w:w="12240" w:h="15840"/>
      <w:pgMar w:top="2835" w:right="1467" w:bottom="567" w:left="1843" w:header="1985"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49474" w14:textId="77777777" w:rsidR="007D7667" w:rsidRDefault="007D7667">
      <w:r>
        <w:separator/>
      </w:r>
    </w:p>
  </w:endnote>
  <w:endnote w:type="continuationSeparator" w:id="0">
    <w:p w14:paraId="56E512E4" w14:textId="77777777" w:rsidR="007D7667" w:rsidRDefault="007D7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serat mediu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Univia Pro Book">
    <w:altName w:val="Arial"/>
    <w:panose1 w:val="00000000000000000000"/>
    <w:charset w:val="00"/>
    <w:family w:val="modern"/>
    <w:notTrueType/>
    <w:pitch w:val="variable"/>
    <w:sig w:usb0="00000001" w:usb1="5000E47B" w:usb2="00000000" w:usb3="00000000" w:csb0="000000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4987" w14:textId="77777777" w:rsidR="00912EC3" w:rsidRDefault="00912EC3">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813756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77777777" w:rsidR="00912EC3" w:rsidRDefault="00912EC3">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end"/>
    </w:r>
  </w:p>
  <w:p w14:paraId="6473890E" w14:textId="77777777" w:rsidR="00912EC3" w:rsidRDefault="00912EC3">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5609A7D3" w:rsidR="00912EC3" w:rsidRDefault="00912EC3">
    <w:pPr>
      <w:pBdr>
        <w:top w:val="nil"/>
        <w:left w:val="nil"/>
        <w:bottom w:val="nil"/>
        <w:right w:val="nil"/>
        <w:between w:val="nil"/>
      </w:pBdr>
      <w:tabs>
        <w:tab w:val="center" w:pos="4252"/>
        <w:tab w:val="right" w:pos="8504"/>
      </w:tabs>
      <w:jc w:val="right"/>
      <w:rPr>
        <w:color w:val="000000"/>
      </w:rPr>
    </w:pPr>
    <w:r>
      <w:rPr>
        <w:color w:val="000000"/>
        <w:sz w:val="16"/>
        <w:szCs w:val="16"/>
      </w:rPr>
      <w:t>Periodo noviembre-marzo del ejercicio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C050A" w14:textId="4E2C4A93" w:rsidR="00912EC3" w:rsidRDefault="00912EC3" w:rsidP="00344200">
    <w:pPr>
      <w:pBdr>
        <w:top w:val="nil"/>
        <w:left w:val="nil"/>
        <w:bottom w:val="nil"/>
        <w:right w:val="nil"/>
        <w:between w:val="nil"/>
      </w:pBdr>
      <w:tabs>
        <w:tab w:val="center" w:pos="4252"/>
        <w:tab w:val="right" w:pos="8504"/>
      </w:tabs>
      <w:jc w:val="right"/>
      <w:rPr>
        <w:color w:val="000000"/>
        <w:sz w:val="16"/>
        <w:szCs w:val="16"/>
      </w:rPr>
    </w:pPr>
  </w:p>
  <w:p w14:paraId="6193B278" w14:textId="7B93EE82" w:rsidR="00813532" w:rsidRDefault="00A700ED" w:rsidP="00A700ED">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 de Oaxaca del ejercicio fiscal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C1083" w14:textId="77777777" w:rsidR="007D7667" w:rsidRDefault="007D7667">
      <w:r>
        <w:separator/>
      </w:r>
    </w:p>
  </w:footnote>
  <w:footnote w:type="continuationSeparator" w:id="0">
    <w:p w14:paraId="17123FD9" w14:textId="77777777" w:rsidR="007D7667" w:rsidRDefault="007D7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E5DAF" w14:textId="77777777" w:rsidR="00912EC3" w:rsidRDefault="00912EC3">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2331647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327422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01A9" w14:textId="77777777" w:rsidR="00912EC3" w:rsidRDefault="00912EC3">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665430071"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42F0"/>
    <w:multiLevelType w:val="hybridMultilevel"/>
    <w:tmpl w:val="5142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8F8"/>
    <w:multiLevelType w:val="hybridMultilevel"/>
    <w:tmpl w:val="55167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1498E"/>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E7179E"/>
    <w:multiLevelType w:val="hybridMultilevel"/>
    <w:tmpl w:val="6C0EC6F8"/>
    <w:lvl w:ilvl="0" w:tplc="34B8CC20">
      <w:start w:val="1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EF385E"/>
    <w:multiLevelType w:val="hybridMultilevel"/>
    <w:tmpl w:val="511E7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556CD7"/>
    <w:multiLevelType w:val="hybridMultilevel"/>
    <w:tmpl w:val="98743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5E0869"/>
    <w:multiLevelType w:val="hybridMultilevel"/>
    <w:tmpl w:val="8DF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7C3A65"/>
    <w:multiLevelType w:val="hybridMultilevel"/>
    <w:tmpl w:val="D27A2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957603"/>
    <w:multiLevelType w:val="hybridMultilevel"/>
    <w:tmpl w:val="50F2D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726FAD"/>
    <w:multiLevelType w:val="hybridMultilevel"/>
    <w:tmpl w:val="3A90080E"/>
    <w:lvl w:ilvl="0" w:tplc="76D695B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9B1107"/>
    <w:multiLevelType w:val="hybridMultilevel"/>
    <w:tmpl w:val="C9D8D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7B1DF6"/>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EF01F5"/>
    <w:multiLevelType w:val="hybridMultilevel"/>
    <w:tmpl w:val="55167D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A31351"/>
    <w:multiLevelType w:val="hybridMultilevel"/>
    <w:tmpl w:val="67546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963DE8"/>
    <w:multiLevelType w:val="hybridMultilevel"/>
    <w:tmpl w:val="3E604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541573"/>
    <w:multiLevelType w:val="hybridMultilevel"/>
    <w:tmpl w:val="02EC8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DE7054"/>
    <w:multiLevelType w:val="hybridMultilevel"/>
    <w:tmpl w:val="38C8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84749A"/>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47743DF"/>
    <w:multiLevelType w:val="multilevel"/>
    <w:tmpl w:val="9AD0C9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483A1627"/>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4367C9"/>
    <w:multiLevelType w:val="hybridMultilevel"/>
    <w:tmpl w:val="A3905AE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93B28B8"/>
    <w:multiLevelType w:val="hybridMultilevel"/>
    <w:tmpl w:val="89B0C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68358F"/>
    <w:multiLevelType w:val="hybridMultilevel"/>
    <w:tmpl w:val="DB54A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B36352"/>
    <w:multiLevelType w:val="hybridMultilevel"/>
    <w:tmpl w:val="1C6C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3D52FC"/>
    <w:multiLevelType w:val="hybridMultilevel"/>
    <w:tmpl w:val="A87C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ADC68BD"/>
    <w:multiLevelType w:val="hybridMultilevel"/>
    <w:tmpl w:val="B5F86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B90DD3"/>
    <w:multiLevelType w:val="hybridMultilevel"/>
    <w:tmpl w:val="EA78A138"/>
    <w:lvl w:ilvl="0" w:tplc="71065B52">
      <w:numFmt w:val="bullet"/>
      <w:lvlText w:val="•"/>
      <w:lvlJc w:val="left"/>
      <w:pPr>
        <w:ind w:left="720" w:hanging="360"/>
      </w:pPr>
      <w:rPr>
        <w:rFonts w:ascii="Monserat medium" w:eastAsia="Times New Roman" w:hAnsi="Monserat medium"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A22787"/>
    <w:multiLevelType w:val="hybridMultilevel"/>
    <w:tmpl w:val="22068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0891889"/>
    <w:multiLevelType w:val="hybridMultilevel"/>
    <w:tmpl w:val="08EA4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55E7B5F"/>
    <w:multiLevelType w:val="hybridMultilevel"/>
    <w:tmpl w:val="8EC0FAB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75AE6C8F"/>
    <w:multiLevelType w:val="hybridMultilevel"/>
    <w:tmpl w:val="87121F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77FB2B67"/>
    <w:multiLevelType w:val="hybridMultilevel"/>
    <w:tmpl w:val="B136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9F87A43"/>
    <w:multiLevelType w:val="hybridMultilevel"/>
    <w:tmpl w:val="478AD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45759A"/>
    <w:multiLevelType w:val="hybridMultilevel"/>
    <w:tmpl w:val="B324D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0F0E7D"/>
    <w:multiLevelType w:val="hybridMultilevel"/>
    <w:tmpl w:val="1C461CA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DA32570"/>
    <w:multiLevelType w:val="hybridMultilevel"/>
    <w:tmpl w:val="08AE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17605921">
    <w:abstractNumId w:val="25"/>
  </w:num>
  <w:num w:numId="2" w16cid:durableId="1320840184">
    <w:abstractNumId w:val="32"/>
  </w:num>
  <w:num w:numId="3" w16cid:durableId="535116302">
    <w:abstractNumId w:val="16"/>
  </w:num>
  <w:num w:numId="4" w16cid:durableId="1398019028">
    <w:abstractNumId w:val="23"/>
  </w:num>
  <w:num w:numId="5" w16cid:durableId="1597401097">
    <w:abstractNumId w:val="0"/>
  </w:num>
  <w:num w:numId="6" w16cid:durableId="1026056019">
    <w:abstractNumId w:val="1"/>
  </w:num>
  <w:num w:numId="7" w16cid:durableId="698942827">
    <w:abstractNumId w:val="26"/>
  </w:num>
  <w:num w:numId="8" w16cid:durableId="2048145065">
    <w:abstractNumId w:val="9"/>
  </w:num>
  <w:num w:numId="9" w16cid:durableId="1108279850">
    <w:abstractNumId w:val="24"/>
  </w:num>
  <w:num w:numId="10" w16cid:durableId="278537277">
    <w:abstractNumId w:val="6"/>
  </w:num>
  <w:num w:numId="11" w16cid:durableId="310865094">
    <w:abstractNumId w:val="13"/>
  </w:num>
  <w:num w:numId="12" w16cid:durableId="577521344">
    <w:abstractNumId w:val="2"/>
  </w:num>
  <w:num w:numId="13" w16cid:durableId="1952546192">
    <w:abstractNumId w:val="17"/>
  </w:num>
  <w:num w:numId="14" w16cid:durableId="388698171">
    <w:abstractNumId w:val="11"/>
  </w:num>
  <w:num w:numId="15" w16cid:durableId="1011957161">
    <w:abstractNumId w:val="19"/>
  </w:num>
  <w:num w:numId="16" w16cid:durableId="1864442355">
    <w:abstractNumId w:val="29"/>
  </w:num>
  <w:num w:numId="17" w16cid:durableId="1767774210">
    <w:abstractNumId w:val="27"/>
  </w:num>
  <w:num w:numId="18" w16cid:durableId="2087610142">
    <w:abstractNumId w:val="3"/>
  </w:num>
  <w:num w:numId="19" w16cid:durableId="821581137">
    <w:abstractNumId w:val="30"/>
  </w:num>
  <w:num w:numId="20" w16cid:durableId="1119909411">
    <w:abstractNumId w:val="31"/>
  </w:num>
  <w:num w:numId="21" w16cid:durableId="1304039609">
    <w:abstractNumId w:val="18"/>
  </w:num>
  <w:num w:numId="22" w16cid:durableId="598879198">
    <w:abstractNumId w:val="20"/>
  </w:num>
  <w:num w:numId="23" w16cid:durableId="1760907047">
    <w:abstractNumId w:val="22"/>
  </w:num>
  <w:num w:numId="24" w16cid:durableId="120534880">
    <w:abstractNumId w:val="10"/>
  </w:num>
  <w:num w:numId="25" w16cid:durableId="733546633">
    <w:abstractNumId w:val="7"/>
  </w:num>
  <w:num w:numId="26" w16cid:durableId="300699126">
    <w:abstractNumId w:val="5"/>
  </w:num>
  <w:num w:numId="27" w16cid:durableId="992412887">
    <w:abstractNumId w:val="28"/>
  </w:num>
  <w:num w:numId="28" w16cid:durableId="203904278">
    <w:abstractNumId w:val="33"/>
  </w:num>
  <w:num w:numId="29" w16cid:durableId="1209218996">
    <w:abstractNumId w:val="15"/>
  </w:num>
  <w:num w:numId="30" w16cid:durableId="1704164730">
    <w:abstractNumId w:val="34"/>
  </w:num>
  <w:num w:numId="31" w16cid:durableId="1451392426">
    <w:abstractNumId w:val="14"/>
  </w:num>
  <w:num w:numId="32" w16cid:durableId="131411614">
    <w:abstractNumId w:val="4"/>
  </w:num>
  <w:num w:numId="33" w16cid:durableId="1272978518">
    <w:abstractNumId w:val="21"/>
  </w:num>
  <w:num w:numId="34" w16cid:durableId="1002702788">
    <w:abstractNumId w:val="8"/>
  </w:num>
  <w:num w:numId="35" w16cid:durableId="598829469">
    <w:abstractNumId w:val="36"/>
  </w:num>
  <w:num w:numId="36" w16cid:durableId="351613491">
    <w:abstractNumId w:val="35"/>
  </w:num>
  <w:num w:numId="37" w16cid:durableId="137654488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EA"/>
    <w:rsid w:val="00014A4A"/>
    <w:rsid w:val="00022173"/>
    <w:rsid w:val="00031666"/>
    <w:rsid w:val="00036380"/>
    <w:rsid w:val="00042437"/>
    <w:rsid w:val="0004316A"/>
    <w:rsid w:val="00047FD2"/>
    <w:rsid w:val="000669E4"/>
    <w:rsid w:val="00070661"/>
    <w:rsid w:val="000716B8"/>
    <w:rsid w:val="000731B9"/>
    <w:rsid w:val="00076F11"/>
    <w:rsid w:val="00081373"/>
    <w:rsid w:val="00087EFF"/>
    <w:rsid w:val="0009795E"/>
    <w:rsid w:val="000A5732"/>
    <w:rsid w:val="000B38F8"/>
    <w:rsid w:val="000B5417"/>
    <w:rsid w:val="000B63CE"/>
    <w:rsid w:val="000C4895"/>
    <w:rsid w:val="000D08C5"/>
    <w:rsid w:val="000E574B"/>
    <w:rsid w:val="000F270C"/>
    <w:rsid w:val="001054E4"/>
    <w:rsid w:val="00106109"/>
    <w:rsid w:val="0011110F"/>
    <w:rsid w:val="00116294"/>
    <w:rsid w:val="00131EB0"/>
    <w:rsid w:val="001329EA"/>
    <w:rsid w:val="00135569"/>
    <w:rsid w:val="00137A29"/>
    <w:rsid w:val="001407B5"/>
    <w:rsid w:val="00140FBE"/>
    <w:rsid w:val="001456C6"/>
    <w:rsid w:val="001463D2"/>
    <w:rsid w:val="001474C3"/>
    <w:rsid w:val="00147E93"/>
    <w:rsid w:val="001532C5"/>
    <w:rsid w:val="001536E6"/>
    <w:rsid w:val="00160031"/>
    <w:rsid w:val="001649BE"/>
    <w:rsid w:val="00165939"/>
    <w:rsid w:val="00182F1C"/>
    <w:rsid w:val="00184517"/>
    <w:rsid w:val="00185F66"/>
    <w:rsid w:val="00190A6A"/>
    <w:rsid w:val="0019166E"/>
    <w:rsid w:val="00192892"/>
    <w:rsid w:val="001B07C1"/>
    <w:rsid w:val="001B0EE1"/>
    <w:rsid w:val="001B23EE"/>
    <w:rsid w:val="001C4EE1"/>
    <w:rsid w:val="001C4F85"/>
    <w:rsid w:val="001C6CE9"/>
    <w:rsid w:val="001D1887"/>
    <w:rsid w:val="001D3D38"/>
    <w:rsid w:val="001E1E24"/>
    <w:rsid w:val="001F021D"/>
    <w:rsid w:val="001F09BA"/>
    <w:rsid w:val="001F1AC1"/>
    <w:rsid w:val="001F47F1"/>
    <w:rsid w:val="001F581E"/>
    <w:rsid w:val="00201378"/>
    <w:rsid w:val="002017DA"/>
    <w:rsid w:val="00210582"/>
    <w:rsid w:val="0021070A"/>
    <w:rsid w:val="00215ACF"/>
    <w:rsid w:val="00233C38"/>
    <w:rsid w:val="00236182"/>
    <w:rsid w:val="00241B7A"/>
    <w:rsid w:val="00246EA4"/>
    <w:rsid w:val="00254313"/>
    <w:rsid w:val="00254EC7"/>
    <w:rsid w:val="00257A29"/>
    <w:rsid w:val="00276BB4"/>
    <w:rsid w:val="002777EB"/>
    <w:rsid w:val="002820CC"/>
    <w:rsid w:val="00291F8F"/>
    <w:rsid w:val="00295C4D"/>
    <w:rsid w:val="002B1DFE"/>
    <w:rsid w:val="002B23AD"/>
    <w:rsid w:val="002B3CC5"/>
    <w:rsid w:val="002B7275"/>
    <w:rsid w:val="002B7F7B"/>
    <w:rsid w:val="002C10CA"/>
    <w:rsid w:val="002C1139"/>
    <w:rsid w:val="002C5CAC"/>
    <w:rsid w:val="002D798A"/>
    <w:rsid w:val="002E59AF"/>
    <w:rsid w:val="002E6541"/>
    <w:rsid w:val="00315582"/>
    <w:rsid w:val="00316925"/>
    <w:rsid w:val="00317CCC"/>
    <w:rsid w:val="003237FF"/>
    <w:rsid w:val="0033229E"/>
    <w:rsid w:val="0033274A"/>
    <w:rsid w:val="00344200"/>
    <w:rsid w:val="00351111"/>
    <w:rsid w:val="00352573"/>
    <w:rsid w:val="00353D98"/>
    <w:rsid w:val="00362B39"/>
    <w:rsid w:val="00371D67"/>
    <w:rsid w:val="003828F1"/>
    <w:rsid w:val="00382CE2"/>
    <w:rsid w:val="0038477A"/>
    <w:rsid w:val="0038714E"/>
    <w:rsid w:val="00390D92"/>
    <w:rsid w:val="00393739"/>
    <w:rsid w:val="003A0656"/>
    <w:rsid w:val="003B1546"/>
    <w:rsid w:val="003C2811"/>
    <w:rsid w:val="003C7789"/>
    <w:rsid w:val="003D0075"/>
    <w:rsid w:val="003D2162"/>
    <w:rsid w:val="003D5242"/>
    <w:rsid w:val="003D5E88"/>
    <w:rsid w:val="003E3F7F"/>
    <w:rsid w:val="003E76BA"/>
    <w:rsid w:val="003F0261"/>
    <w:rsid w:val="003F0C67"/>
    <w:rsid w:val="003F5B17"/>
    <w:rsid w:val="004029E5"/>
    <w:rsid w:val="00403C91"/>
    <w:rsid w:val="00404938"/>
    <w:rsid w:val="004109C4"/>
    <w:rsid w:val="00420ECC"/>
    <w:rsid w:val="00424A70"/>
    <w:rsid w:val="00431EBD"/>
    <w:rsid w:val="00434939"/>
    <w:rsid w:val="00435CD5"/>
    <w:rsid w:val="004365E9"/>
    <w:rsid w:val="004444AD"/>
    <w:rsid w:val="00444827"/>
    <w:rsid w:val="00445927"/>
    <w:rsid w:val="00447555"/>
    <w:rsid w:val="0044783D"/>
    <w:rsid w:val="00447E14"/>
    <w:rsid w:val="00461406"/>
    <w:rsid w:val="0046353B"/>
    <w:rsid w:val="00464474"/>
    <w:rsid w:val="00470135"/>
    <w:rsid w:val="00474646"/>
    <w:rsid w:val="0047551A"/>
    <w:rsid w:val="00477D94"/>
    <w:rsid w:val="00486744"/>
    <w:rsid w:val="004A106E"/>
    <w:rsid w:val="004A1B77"/>
    <w:rsid w:val="004A7AAF"/>
    <w:rsid w:val="004B2ED9"/>
    <w:rsid w:val="004B3002"/>
    <w:rsid w:val="004B3592"/>
    <w:rsid w:val="004B6573"/>
    <w:rsid w:val="004D03A4"/>
    <w:rsid w:val="004D2BEF"/>
    <w:rsid w:val="00503B9C"/>
    <w:rsid w:val="005076B8"/>
    <w:rsid w:val="0051224D"/>
    <w:rsid w:val="00513FFC"/>
    <w:rsid w:val="00523452"/>
    <w:rsid w:val="00525220"/>
    <w:rsid w:val="00526238"/>
    <w:rsid w:val="00526DED"/>
    <w:rsid w:val="00531942"/>
    <w:rsid w:val="00541428"/>
    <w:rsid w:val="0054762D"/>
    <w:rsid w:val="00553A13"/>
    <w:rsid w:val="005556D5"/>
    <w:rsid w:val="00555871"/>
    <w:rsid w:val="00567282"/>
    <w:rsid w:val="00570EEB"/>
    <w:rsid w:val="00577DCC"/>
    <w:rsid w:val="005843C6"/>
    <w:rsid w:val="005A53BA"/>
    <w:rsid w:val="005A54FE"/>
    <w:rsid w:val="005A5F96"/>
    <w:rsid w:val="005B5280"/>
    <w:rsid w:val="005B740F"/>
    <w:rsid w:val="005B7E5B"/>
    <w:rsid w:val="005C0A3B"/>
    <w:rsid w:val="005C20BF"/>
    <w:rsid w:val="005C6C93"/>
    <w:rsid w:val="005C7D8C"/>
    <w:rsid w:val="005E2945"/>
    <w:rsid w:val="005E2988"/>
    <w:rsid w:val="005E44C4"/>
    <w:rsid w:val="005F14C8"/>
    <w:rsid w:val="005F3981"/>
    <w:rsid w:val="005F5862"/>
    <w:rsid w:val="005F676F"/>
    <w:rsid w:val="00600320"/>
    <w:rsid w:val="006077E4"/>
    <w:rsid w:val="00607B28"/>
    <w:rsid w:val="0061395E"/>
    <w:rsid w:val="006165F8"/>
    <w:rsid w:val="00621D14"/>
    <w:rsid w:val="00624A68"/>
    <w:rsid w:val="00630474"/>
    <w:rsid w:val="00632E0D"/>
    <w:rsid w:val="006549CB"/>
    <w:rsid w:val="00670A96"/>
    <w:rsid w:val="00687080"/>
    <w:rsid w:val="006A225B"/>
    <w:rsid w:val="006A53B2"/>
    <w:rsid w:val="006C01D7"/>
    <w:rsid w:val="006C0D22"/>
    <w:rsid w:val="006C4CF8"/>
    <w:rsid w:val="006C7F29"/>
    <w:rsid w:val="006D2780"/>
    <w:rsid w:val="006D2C27"/>
    <w:rsid w:val="006D3FB3"/>
    <w:rsid w:val="006F04B3"/>
    <w:rsid w:val="006F1CA6"/>
    <w:rsid w:val="006F23BD"/>
    <w:rsid w:val="006F4482"/>
    <w:rsid w:val="00702DAE"/>
    <w:rsid w:val="00705B0B"/>
    <w:rsid w:val="0070614E"/>
    <w:rsid w:val="00720DA5"/>
    <w:rsid w:val="007231FF"/>
    <w:rsid w:val="007262BA"/>
    <w:rsid w:val="00726E9D"/>
    <w:rsid w:val="00732FA0"/>
    <w:rsid w:val="00733D83"/>
    <w:rsid w:val="007424F5"/>
    <w:rsid w:val="007450FA"/>
    <w:rsid w:val="0074544F"/>
    <w:rsid w:val="0075562D"/>
    <w:rsid w:val="0075584C"/>
    <w:rsid w:val="00766771"/>
    <w:rsid w:val="00771A4F"/>
    <w:rsid w:val="00772A80"/>
    <w:rsid w:val="00773C84"/>
    <w:rsid w:val="00774C87"/>
    <w:rsid w:val="00775091"/>
    <w:rsid w:val="007829C8"/>
    <w:rsid w:val="0078682B"/>
    <w:rsid w:val="007A4256"/>
    <w:rsid w:val="007B1E3E"/>
    <w:rsid w:val="007B2D07"/>
    <w:rsid w:val="007B5ADF"/>
    <w:rsid w:val="007B642B"/>
    <w:rsid w:val="007C00D1"/>
    <w:rsid w:val="007C0F8C"/>
    <w:rsid w:val="007C54D7"/>
    <w:rsid w:val="007D0CC8"/>
    <w:rsid w:val="007D2912"/>
    <w:rsid w:val="007D7667"/>
    <w:rsid w:val="007E0E5E"/>
    <w:rsid w:val="007E4FFC"/>
    <w:rsid w:val="007F333B"/>
    <w:rsid w:val="007F694C"/>
    <w:rsid w:val="007F6B67"/>
    <w:rsid w:val="00804331"/>
    <w:rsid w:val="00807455"/>
    <w:rsid w:val="00813532"/>
    <w:rsid w:val="00822E0D"/>
    <w:rsid w:val="00831CEA"/>
    <w:rsid w:val="0083243A"/>
    <w:rsid w:val="00836D65"/>
    <w:rsid w:val="0083744C"/>
    <w:rsid w:val="008405A6"/>
    <w:rsid w:val="008424E3"/>
    <w:rsid w:val="008461FB"/>
    <w:rsid w:val="00862C05"/>
    <w:rsid w:val="00870C53"/>
    <w:rsid w:val="008757FA"/>
    <w:rsid w:val="0087788F"/>
    <w:rsid w:val="00881CA9"/>
    <w:rsid w:val="00882EAC"/>
    <w:rsid w:val="008840F8"/>
    <w:rsid w:val="00894E9E"/>
    <w:rsid w:val="008A42FA"/>
    <w:rsid w:val="008A6084"/>
    <w:rsid w:val="008B1D18"/>
    <w:rsid w:val="008C2652"/>
    <w:rsid w:val="008C4856"/>
    <w:rsid w:val="008D3094"/>
    <w:rsid w:val="008F07BB"/>
    <w:rsid w:val="009013BE"/>
    <w:rsid w:val="009069FF"/>
    <w:rsid w:val="00906DEB"/>
    <w:rsid w:val="00912EC3"/>
    <w:rsid w:val="00913106"/>
    <w:rsid w:val="00915A58"/>
    <w:rsid w:val="00916F1F"/>
    <w:rsid w:val="00922D56"/>
    <w:rsid w:val="009266A4"/>
    <w:rsid w:val="00926C5C"/>
    <w:rsid w:val="00930434"/>
    <w:rsid w:val="009328B0"/>
    <w:rsid w:val="00942EA5"/>
    <w:rsid w:val="00951C34"/>
    <w:rsid w:val="00954D7F"/>
    <w:rsid w:val="0096384C"/>
    <w:rsid w:val="00972981"/>
    <w:rsid w:val="00977E4E"/>
    <w:rsid w:val="00981081"/>
    <w:rsid w:val="009848CB"/>
    <w:rsid w:val="00986625"/>
    <w:rsid w:val="00991268"/>
    <w:rsid w:val="0099356A"/>
    <w:rsid w:val="00995299"/>
    <w:rsid w:val="009A021D"/>
    <w:rsid w:val="009C05EA"/>
    <w:rsid w:val="009C33D9"/>
    <w:rsid w:val="009D0747"/>
    <w:rsid w:val="009D6819"/>
    <w:rsid w:val="009E2401"/>
    <w:rsid w:val="009E4515"/>
    <w:rsid w:val="009F1500"/>
    <w:rsid w:val="009F48DE"/>
    <w:rsid w:val="009F6384"/>
    <w:rsid w:val="00A018AA"/>
    <w:rsid w:val="00A0674D"/>
    <w:rsid w:val="00A11567"/>
    <w:rsid w:val="00A12916"/>
    <w:rsid w:val="00A14E65"/>
    <w:rsid w:val="00A15D46"/>
    <w:rsid w:val="00A172FB"/>
    <w:rsid w:val="00A2163E"/>
    <w:rsid w:val="00A23539"/>
    <w:rsid w:val="00A2374E"/>
    <w:rsid w:val="00A259CD"/>
    <w:rsid w:val="00A42655"/>
    <w:rsid w:val="00A525C8"/>
    <w:rsid w:val="00A5739A"/>
    <w:rsid w:val="00A63762"/>
    <w:rsid w:val="00A700ED"/>
    <w:rsid w:val="00A7045B"/>
    <w:rsid w:val="00A73E15"/>
    <w:rsid w:val="00A966A5"/>
    <w:rsid w:val="00A97673"/>
    <w:rsid w:val="00AA1A78"/>
    <w:rsid w:val="00AA789E"/>
    <w:rsid w:val="00AB47C9"/>
    <w:rsid w:val="00AC1764"/>
    <w:rsid w:val="00AC1918"/>
    <w:rsid w:val="00AC7403"/>
    <w:rsid w:val="00AE05B2"/>
    <w:rsid w:val="00AE1395"/>
    <w:rsid w:val="00AE4D5C"/>
    <w:rsid w:val="00AE5513"/>
    <w:rsid w:val="00AF5CFD"/>
    <w:rsid w:val="00AF616C"/>
    <w:rsid w:val="00AF6894"/>
    <w:rsid w:val="00AF7183"/>
    <w:rsid w:val="00B0059B"/>
    <w:rsid w:val="00B0178D"/>
    <w:rsid w:val="00B01D8C"/>
    <w:rsid w:val="00B067CB"/>
    <w:rsid w:val="00B13E69"/>
    <w:rsid w:val="00B17EE9"/>
    <w:rsid w:val="00B20417"/>
    <w:rsid w:val="00B25863"/>
    <w:rsid w:val="00B2668F"/>
    <w:rsid w:val="00B34479"/>
    <w:rsid w:val="00B34987"/>
    <w:rsid w:val="00B36FBA"/>
    <w:rsid w:val="00B40541"/>
    <w:rsid w:val="00B40D03"/>
    <w:rsid w:val="00B417F4"/>
    <w:rsid w:val="00B61B95"/>
    <w:rsid w:val="00B64927"/>
    <w:rsid w:val="00B66A10"/>
    <w:rsid w:val="00B81758"/>
    <w:rsid w:val="00B83797"/>
    <w:rsid w:val="00B838A8"/>
    <w:rsid w:val="00B859AE"/>
    <w:rsid w:val="00B91C17"/>
    <w:rsid w:val="00B9559F"/>
    <w:rsid w:val="00B9573C"/>
    <w:rsid w:val="00B960F1"/>
    <w:rsid w:val="00B96B36"/>
    <w:rsid w:val="00BA21BD"/>
    <w:rsid w:val="00BA4167"/>
    <w:rsid w:val="00BA73A8"/>
    <w:rsid w:val="00BB255B"/>
    <w:rsid w:val="00BB3D78"/>
    <w:rsid w:val="00BB5686"/>
    <w:rsid w:val="00BC1FE8"/>
    <w:rsid w:val="00BC44D1"/>
    <w:rsid w:val="00BD1924"/>
    <w:rsid w:val="00BD511E"/>
    <w:rsid w:val="00BE09A9"/>
    <w:rsid w:val="00BE19EB"/>
    <w:rsid w:val="00BE5FB4"/>
    <w:rsid w:val="00BE6A86"/>
    <w:rsid w:val="00BF2718"/>
    <w:rsid w:val="00BF3ADB"/>
    <w:rsid w:val="00BF49A1"/>
    <w:rsid w:val="00BF547E"/>
    <w:rsid w:val="00BF71DA"/>
    <w:rsid w:val="00C027F5"/>
    <w:rsid w:val="00C06D43"/>
    <w:rsid w:val="00C12D9C"/>
    <w:rsid w:val="00C1445B"/>
    <w:rsid w:val="00C16F98"/>
    <w:rsid w:val="00C21886"/>
    <w:rsid w:val="00C238FA"/>
    <w:rsid w:val="00C32566"/>
    <w:rsid w:val="00C40026"/>
    <w:rsid w:val="00C431C1"/>
    <w:rsid w:val="00C43E2D"/>
    <w:rsid w:val="00C441C0"/>
    <w:rsid w:val="00C441E4"/>
    <w:rsid w:val="00C57457"/>
    <w:rsid w:val="00C643E7"/>
    <w:rsid w:val="00C64441"/>
    <w:rsid w:val="00C664F8"/>
    <w:rsid w:val="00C76838"/>
    <w:rsid w:val="00C87880"/>
    <w:rsid w:val="00C92394"/>
    <w:rsid w:val="00C9363D"/>
    <w:rsid w:val="00C953B4"/>
    <w:rsid w:val="00C96B91"/>
    <w:rsid w:val="00CA1292"/>
    <w:rsid w:val="00CA6232"/>
    <w:rsid w:val="00CB14C9"/>
    <w:rsid w:val="00CB2C25"/>
    <w:rsid w:val="00CB4CD8"/>
    <w:rsid w:val="00CB4D54"/>
    <w:rsid w:val="00CD23B6"/>
    <w:rsid w:val="00CD5442"/>
    <w:rsid w:val="00CD6DCA"/>
    <w:rsid w:val="00CE204A"/>
    <w:rsid w:val="00CE2C51"/>
    <w:rsid w:val="00D06175"/>
    <w:rsid w:val="00D063E6"/>
    <w:rsid w:val="00D11DF7"/>
    <w:rsid w:val="00D23930"/>
    <w:rsid w:val="00D47C2F"/>
    <w:rsid w:val="00D51D73"/>
    <w:rsid w:val="00D521A5"/>
    <w:rsid w:val="00D52530"/>
    <w:rsid w:val="00D555F5"/>
    <w:rsid w:val="00D55BB4"/>
    <w:rsid w:val="00D56D92"/>
    <w:rsid w:val="00D57CCB"/>
    <w:rsid w:val="00D633F9"/>
    <w:rsid w:val="00D70A3F"/>
    <w:rsid w:val="00D71760"/>
    <w:rsid w:val="00D71A7E"/>
    <w:rsid w:val="00D75926"/>
    <w:rsid w:val="00D83709"/>
    <w:rsid w:val="00D917CF"/>
    <w:rsid w:val="00D91901"/>
    <w:rsid w:val="00D97EEB"/>
    <w:rsid w:val="00DA66C5"/>
    <w:rsid w:val="00DB761E"/>
    <w:rsid w:val="00DC7256"/>
    <w:rsid w:val="00DD6F74"/>
    <w:rsid w:val="00DE22D3"/>
    <w:rsid w:val="00DE372D"/>
    <w:rsid w:val="00DF003E"/>
    <w:rsid w:val="00DF1ECA"/>
    <w:rsid w:val="00DF39AD"/>
    <w:rsid w:val="00E226CA"/>
    <w:rsid w:val="00E26F00"/>
    <w:rsid w:val="00E45266"/>
    <w:rsid w:val="00E542FF"/>
    <w:rsid w:val="00E56EF6"/>
    <w:rsid w:val="00E5754B"/>
    <w:rsid w:val="00E62671"/>
    <w:rsid w:val="00E6594D"/>
    <w:rsid w:val="00E7011E"/>
    <w:rsid w:val="00E75CBB"/>
    <w:rsid w:val="00E77210"/>
    <w:rsid w:val="00E8294A"/>
    <w:rsid w:val="00E92835"/>
    <w:rsid w:val="00EA34A8"/>
    <w:rsid w:val="00EA5031"/>
    <w:rsid w:val="00EA68C0"/>
    <w:rsid w:val="00EA7092"/>
    <w:rsid w:val="00EB1C4F"/>
    <w:rsid w:val="00EB6464"/>
    <w:rsid w:val="00EB6FF2"/>
    <w:rsid w:val="00ED0232"/>
    <w:rsid w:val="00ED06DD"/>
    <w:rsid w:val="00ED301D"/>
    <w:rsid w:val="00ED7481"/>
    <w:rsid w:val="00EE01B3"/>
    <w:rsid w:val="00EE0424"/>
    <w:rsid w:val="00EF270D"/>
    <w:rsid w:val="00EF759F"/>
    <w:rsid w:val="00F01204"/>
    <w:rsid w:val="00F01F23"/>
    <w:rsid w:val="00F0406B"/>
    <w:rsid w:val="00F129E5"/>
    <w:rsid w:val="00F15C68"/>
    <w:rsid w:val="00F17099"/>
    <w:rsid w:val="00F1741A"/>
    <w:rsid w:val="00F21983"/>
    <w:rsid w:val="00F321C4"/>
    <w:rsid w:val="00F35BB3"/>
    <w:rsid w:val="00F377B8"/>
    <w:rsid w:val="00F41F74"/>
    <w:rsid w:val="00F4586E"/>
    <w:rsid w:val="00F532CF"/>
    <w:rsid w:val="00F53BF2"/>
    <w:rsid w:val="00F54D26"/>
    <w:rsid w:val="00F60DC8"/>
    <w:rsid w:val="00F709E4"/>
    <w:rsid w:val="00F80903"/>
    <w:rsid w:val="00F9516C"/>
    <w:rsid w:val="00FA6407"/>
    <w:rsid w:val="00FA6FAA"/>
    <w:rsid w:val="00FB3A33"/>
    <w:rsid w:val="00FC638C"/>
    <w:rsid w:val="00FD2DE6"/>
    <w:rsid w:val="00FD37F0"/>
    <w:rsid w:val="00FD3EAB"/>
    <w:rsid w:val="00FD7686"/>
    <w:rsid w:val="00FE68FE"/>
    <w:rsid w:val="00FE7BC9"/>
    <w:rsid w:val="00FF6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E5A8"/>
  <w15:docId w15:val="{2FBDAD9E-9D03-4EBE-B409-838CD5B9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 w:type="character" w:styleId="Hipervnculo">
    <w:name w:val="Hyperlink"/>
    <w:basedOn w:val="Fuentedeprrafopredeter"/>
    <w:uiPriority w:val="99"/>
    <w:unhideWhenUsed/>
    <w:rsid w:val="00771A4F"/>
    <w:rPr>
      <w:color w:val="0000FF"/>
      <w:u w:val="single"/>
    </w:rPr>
  </w:style>
  <w:style w:type="paragraph" w:styleId="NormalWeb">
    <w:name w:val="Normal (Web)"/>
    <w:basedOn w:val="Normal"/>
    <w:uiPriority w:val="99"/>
    <w:unhideWhenUsed/>
    <w:rsid w:val="00771A4F"/>
    <w:pPr>
      <w:spacing w:before="100" w:beforeAutospacing="1" w:after="100" w:afterAutospacing="1"/>
    </w:pPr>
    <w:rPr>
      <w:rFonts w:ascii="Times New Roman" w:eastAsia="Times New Roman" w:hAnsi="Times New Roman" w:cs="Times New Roman"/>
      <w:lang w:val="es-MX"/>
    </w:rPr>
  </w:style>
  <w:style w:type="paragraph" w:customStyle="1" w:styleId="Texto">
    <w:name w:val="Texto"/>
    <w:basedOn w:val="Normal"/>
    <w:link w:val="TextoCar"/>
    <w:qFormat/>
    <w:rsid w:val="00ED301D"/>
    <w:pPr>
      <w:spacing w:after="101" w:line="216" w:lineRule="exact"/>
      <w:ind w:firstLine="288"/>
      <w:jc w:val="both"/>
    </w:pPr>
    <w:rPr>
      <w:rFonts w:ascii="Arial" w:eastAsia="Times New Roman" w:hAnsi="Arial" w:cs="Arial"/>
      <w:sz w:val="18"/>
      <w:szCs w:val="20"/>
      <w:lang w:eastAsia="es-ES"/>
    </w:rPr>
  </w:style>
  <w:style w:type="paragraph" w:customStyle="1" w:styleId="ROMANOS">
    <w:name w:val="ROMANOS"/>
    <w:basedOn w:val="Normal"/>
    <w:link w:val="ROMANOSCar"/>
    <w:rsid w:val="00ED301D"/>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TextoCar">
    <w:name w:val="Texto Car"/>
    <w:link w:val="Texto"/>
    <w:locked/>
    <w:rsid w:val="00ED301D"/>
    <w:rPr>
      <w:rFonts w:ascii="Arial" w:eastAsia="Times New Roman" w:hAnsi="Arial" w:cs="Arial"/>
      <w:sz w:val="18"/>
      <w:szCs w:val="20"/>
      <w:lang w:eastAsia="es-ES"/>
    </w:rPr>
  </w:style>
  <w:style w:type="character" w:customStyle="1" w:styleId="ROMANOSCar">
    <w:name w:val="ROMANOS Car"/>
    <w:link w:val="ROMANOS"/>
    <w:locked/>
    <w:rsid w:val="00ED301D"/>
    <w:rPr>
      <w:rFonts w:ascii="Arial" w:eastAsia="Times New Roman" w:hAnsi="Arial" w:cs="Arial"/>
      <w:sz w:val="18"/>
      <w:szCs w:val="18"/>
      <w:lang w:eastAsia="es-ES"/>
    </w:rPr>
  </w:style>
  <w:style w:type="paragraph" w:customStyle="1" w:styleId="INCISO">
    <w:name w:val="INCISO"/>
    <w:basedOn w:val="Normal"/>
    <w:rsid w:val="007829C8"/>
    <w:pPr>
      <w:spacing w:after="101" w:line="216" w:lineRule="exact"/>
      <w:ind w:left="1080" w:hanging="360"/>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1"/>
    <w:qFormat/>
    <w:rsid w:val="008B1D1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8B1D18"/>
    <w:rPr>
      <w:rFonts w:ascii="Arial MT" w:eastAsia="Arial MT" w:hAnsi="Arial MT" w:cs="Arial MT"/>
      <w:sz w:val="22"/>
      <w:szCs w:val="22"/>
      <w:lang w:eastAsia="en-US"/>
    </w:rPr>
  </w:style>
  <w:style w:type="character" w:styleId="Refdecomentario">
    <w:name w:val="annotation reference"/>
    <w:basedOn w:val="Fuentedeprrafopredeter"/>
    <w:uiPriority w:val="99"/>
    <w:semiHidden/>
    <w:unhideWhenUsed/>
    <w:rsid w:val="00EF759F"/>
    <w:rPr>
      <w:sz w:val="16"/>
      <w:szCs w:val="16"/>
    </w:rPr>
  </w:style>
  <w:style w:type="paragraph" w:styleId="Textocomentario">
    <w:name w:val="annotation text"/>
    <w:basedOn w:val="Normal"/>
    <w:link w:val="TextocomentarioCar"/>
    <w:uiPriority w:val="99"/>
    <w:semiHidden/>
    <w:unhideWhenUsed/>
    <w:rsid w:val="00EF759F"/>
    <w:rPr>
      <w:sz w:val="20"/>
      <w:szCs w:val="20"/>
    </w:rPr>
  </w:style>
  <w:style w:type="character" w:customStyle="1" w:styleId="TextocomentarioCar">
    <w:name w:val="Texto comentario Car"/>
    <w:basedOn w:val="Fuentedeprrafopredeter"/>
    <w:link w:val="Textocomentario"/>
    <w:uiPriority w:val="99"/>
    <w:semiHidden/>
    <w:rsid w:val="00EF759F"/>
    <w:rPr>
      <w:sz w:val="20"/>
      <w:szCs w:val="20"/>
    </w:rPr>
  </w:style>
  <w:style w:type="paragraph" w:styleId="Asuntodelcomentario">
    <w:name w:val="annotation subject"/>
    <w:basedOn w:val="Textocomentario"/>
    <w:next w:val="Textocomentario"/>
    <w:link w:val="AsuntodelcomentarioCar"/>
    <w:uiPriority w:val="99"/>
    <w:semiHidden/>
    <w:unhideWhenUsed/>
    <w:rsid w:val="00EF759F"/>
    <w:rPr>
      <w:b/>
      <w:bCs/>
    </w:rPr>
  </w:style>
  <w:style w:type="character" w:customStyle="1" w:styleId="AsuntodelcomentarioCar">
    <w:name w:val="Asunto del comentario Car"/>
    <w:basedOn w:val="TextocomentarioCar"/>
    <w:link w:val="Asuntodelcomentario"/>
    <w:uiPriority w:val="99"/>
    <w:semiHidden/>
    <w:rsid w:val="00EF759F"/>
    <w:rPr>
      <w:b/>
      <w:bCs/>
      <w:sz w:val="20"/>
      <w:szCs w:val="20"/>
    </w:rPr>
  </w:style>
  <w:style w:type="character" w:styleId="Mencinsinresolver">
    <w:name w:val="Unresolved Mention"/>
    <w:basedOn w:val="Fuentedeprrafopredeter"/>
    <w:uiPriority w:val="99"/>
    <w:semiHidden/>
    <w:unhideWhenUsed/>
    <w:rsid w:val="00140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985">
      <w:bodyDiv w:val="1"/>
      <w:marLeft w:val="0"/>
      <w:marRight w:val="0"/>
      <w:marTop w:val="0"/>
      <w:marBottom w:val="0"/>
      <w:divBdr>
        <w:top w:val="none" w:sz="0" w:space="0" w:color="auto"/>
        <w:left w:val="none" w:sz="0" w:space="0" w:color="auto"/>
        <w:bottom w:val="none" w:sz="0" w:space="0" w:color="auto"/>
        <w:right w:val="none" w:sz="0" w:space="0" w:color="auto"/>
      </w:divBdr>
    </w:div>
    <w:div w:id="5252246">
      <w:bodyDiv w:val="1"/>
      <w:marLeft w:val="0"/>
      <w:marRight w:val="0"/>
      <w:marTop w:val="0"/>
      <w:marBottom w:val="0"/>
      <w:divBdr>
        <w:top w:val="none" w:sz="0" w:space="0" w:color="auto"/>
        <w:left w:val="none" w:sz="0" w:space="0" w:color="auto"/>
        <w:bottom w:val="none" w:sz="0" w:space="0" w:color="auto"/>
        <w:right w:val="none" w:sz="0" w:space="0" w:color="auto"/>
      </w:divBdr>
    </w:div>
    <w:div w:id="26376144">
      <w:bodyDiv w:val="1"/>
      <w:marLeft w:val="0"/>
      <w:marRight w:val="0"/>
      <w:marTop w:val="0"/>
      <w:marBottom w:val="0"/>
      <w:divBdr>
        <w:top w:val="none" w:sz="0" w:space="0" w:color="auto"/>
        <w:left w:val="none" w:sz="0" w:space="0" w:color="auto"/>
        <w:bottom w:val="none" w:sz="0" w:space="0" w:color="auto"/>
        <w:right w:val="none" w:sz="0" w:space="0" w:color="auto"/>
      </w:divBdr>
    </w:div>
    <w:div w:id="39282940">
      <w:bodyDiv w:val="1"/>
      <w:marLeft w:val="0"/>
      <w:marRight w:val="0"/>
      <w:marTop w:val="0"/>
      <w:marBottom w:val="0"/>
      <w:divBdr>
        <w:top w:val="none" w:sz="0" w:space="0" w:color="auto"/>
        <w:left w:val="none" w:sz="0" w:space="0" w:color="auto"/>
        <w:bottom w:val="none" w:sz="0" w:space="0" w:color="auto"/>
        <w:right w:val="none" w:sz="0" w:space="0" w:color="auto"/>
      </w:divBdr>
    </w:div>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50814876">
      <w:bodyDiv w:val="1"/>
      <w:marLeft w:val="0"/>
      <w:marRight w:val="0"/>
      <w:marTop w:val="0"/>
      <w:marBottom w:val="0"/>
      <w:divBdr>
        <w:top w:val="none" w:sz="0" w:space="0" w:color="auto"/>
        <w:left w:val="none" w:sz="0" w:space="0" w:color="auto"/>
        <w:bottom w:val="none" w:sz="0" w:space="0" w:color="auto"/>
        <w:right w:val="none" w:sz="0" w:space="0" w:color="auto"/>
      </w:divBdr>
    </w:div>
    <w:div w:id="52850538">
      <w:bodyDiv w:val="1"/>
      <w:marLeft w:val="0"/>
      <w:marRight w:val="0"/>
      <w:marTop w:val="0"/>
      <w:marBottom w:val="0"/>
      <w:divBdr>
        <w:top w:val="none" w:sz="0" w:space="0" w:color="auto"/>
        <w:left w:val="none" w:sz="0" w:space="0" w:color="auto"/>
        <w:bottom w:val="none" w:sz="0" w:space="0" w:color="auto"/>
        <w:right w:val="none" w:sz="0" w:space="0" w:color="auto"/>
      </w:divBdr>
    </w:div>
    <w:div w:id="60565909">
      <w:bodyDiv w:val="1"/>
      <w:marLeft w:val="0"/>
      <w:marRight w:val="0"/>
      <w:marTop w:val="0"/>
      <w:marBottom w:val="0"/>
      <w:divBdr>
        <w:top w:val="none" w:sz="0" w:space="0" w:color="auto"/>
        <w:left w:val="none" w:sz="0" w:space="0" w:color="auto"/>
        <w:bottom w:val="none" w:sz="0" w:space="0" w:color="auto"/>
        <w:right w:val="none" w:sz="0" w:space="0" w:color="auto"/>
      </w:divBdr>
    </w:div>
    <w:div w:id="61804462">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99305936">
      <w:bodyDiv w:val="1"/>
      <w:marLeft w:val="0"/>
      <w:marRight w:val="0"/>
      <w:marTop w:val="0"/>
      <w:marBottom w:val="0"/>
      <w:divBdr>
        <w:top w:val="none" w:sz="0" w:space="0" w:color="auto"/>
        <w:left w:val="none" w:sz="0" w:space="0" w:color="auto"/>
        <w:bottom w:val="none" w:sz="0" w:space="0" w:color="auto"/>
        <w:right w:val="none" w:sz="0" w:space="0" w:color="auto"/>
      </w:divBdr>
    </w:div>
    <w:div w:id="109865138">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47476727">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54955710">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69756975">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1921376">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178589693">
      <w:bodyDiv w:val="1"/>
      <w:marLeft w:val="0"/>
      <w:marRight w:val="0"/>
      <w:marTop w:val="0"/>
      <w:marBottom w:val="0"/>
      <w:divBdr>
        <w:top w:val="none" w:sz="0" w:space="0" w:color="auto"/>
        <w:left w:val="none" w:sz="0" w:space="0" w:color="auto"/>
        <w:bottom w:val="none" w:sz="0" w:space="0" w:color="auto"/>
        <w:right w:val="none" w:sz="0" w:space="0" w:color="auto"/>
      </w:divBdr>
    </w:div>
    <w:div w:id="201481392">
      <w:bodyDiv w:val="1"/>
      <w:marLeft w:val="0"/>
      <w:marRight w:val="0"/>
      <w:marTop w:val="0"/>
      <w:marBottom w:val="0"/>
      <w:divBdr>
        <w:top w:val="none" w:sz="0" w:space="0" w:color="auto"/>
        <w:left w:val="none" w:sz="0" w:space="0" w:color="auto"/>
        <w:bottom w:val="none" w:sz="0" w:space="0" w:color="auto"/>
        <w:right w:val="none" w:sz="0" w:space="0" w:color="auto"/>
      </w:divBdr>
    </w:div>
    <w:div w:id="206648031">
      <w:bodyDiv w:val="1"/>
      <w:marLeft w:val="0"/>
      <w:marRight w:val="0"/>
      <w:marTop w:val="0"/>
      <w:marBottom w:val="0"/>
      <w:divBdr>
        <w:top w:val="none" w:sz="0" w:space="0" w:color="auto"/>
        <w:left w:val="none" w:sz="0" w:space="0" w:color="auto"/>
        <w:bottom w:val="none" w:sz="0" w:space="0" w:color="auto"/>
        <w:right w:val="none" w:sz="0" w:space="0" w:color="auto"/>
      </w:divBdr>
    </w:div>
    <w:div w:id="208998337">
      <w:bodyDiv w:val="1"/>
      <w:marLeft w:val="0"/>
      <w:marRight w:val="0"/>
      <w:marTop w:val="0"/>
      <w:marBottom w:val="0"/>
      <w:divBdr>
        <w:top w:val="none" w:sz="0" w:space="0" w:color="auto"/>
        <w:left w:val="none" w:sz="0" w:space="0" w:color="auto"/>
        <w:bottom w:val="none" w:sz="0" w:space="0" w:color="auto"/>
        <w:right w:val="none" w:sz="0" w:space="0" w:color="auto"/>
      </w:divBdr>
    </w:div>
    <w:div w:id="224414901">
      <w:bodyDiv w:val="1"/>
      <w:marLeft w:val="0"/>
      <w:marRight w:val="0"/>
      <w:marTop w:val="0"/>
      <w:marBottom w:val="0"/>
      <w:divBdr>
        <w:top w:val="none" w:sz="0" w:space="0" w:color="auto"/>
        <w:left w:val="none" w:sz="0" w:space="0" w:color="auto"/>
        <w:bottom w:val="none" w:sz="0" w:space="0" w:color="auto"/>
        <w:right w:val="none" w:sz="0" w:space="0" w:color="auto"/>
      </w:divBdr>
    </w:div>
    <w:div w:id="227344827">
      <w:bodyDiv w:val="1"/>
      <w:marLeft w:val="0"/>
      <w:marRight w:val="0"/>
      <w:marTop w:val="0"/>
      <w:marBottom w:val="0"/>
      <w:divBdr>
        <w:top w:val="none" w:sz="0" w:space="0" w:color="auto"/>
        <w:left w:val="none" w:sz="0" w:space="0" w:color="auto"/>
        <w:bottom w:val="none" w:sz="0" w:space="0" w:color="auto"/>
        <w:right w:val="none" w:sz="0" w:space="0" w:color="auto"/>
      </w:divBdr>
    </w:div>
    <w:div w:id="259460354">
      <w:bodyDiv w:val="1"/>
      <w:marLeft w:val="0"/>
      <w:marRight w:val="0"/>
      <w:marTop w:val="0"/>
      <w:marBottom w:val="0"/>
      <w:divBdr>
        <w:top w:val="none" w:sz="0" w:space="0" w:color="auto"/>
        <w:left w:val="none" w:sz="0" w:space="0" w:color="auto"/>
        <w:bottom w:val="none" w:sz="0" w:space="0" w:color="auto"/>
        <w:right w:val="none" w:sz="0" w:space="0" w:color="auto"/>
      </w:divBdr>
    </w:div>
    <w:div w:id="269899583">
      <w:bodyDiv w:val="1"/>
      <w:marLeft w:val="0"/>
      <w:marRight w:val="0"/>
      <w:marTop w:val="0"/>
      <w:marBottom w:val="0"/>
      <w:divBdr>
        <w:top w:val="none" w:sz="0" w:space="0" w:color="auto"/>
        <w:left w:val="none" w:sz="0" w:space="0" w:color="auto"/>
        <w:bottom w:val="none" w:sz="0" w:space="0" w:color="auto"/>
        <w:right w:val="none" w:sz="0" w:space="0" w:color="auto"/>
      </w:divBdr>
    </w:div>
    <w:div w:id="276067189">
      <w:bodyDiv w:val="1"/>
      <w:marLeft w:val="0"/>
      <w:marRight w:val="0"/>
      <w:marTop w:val="0"/>
      <w:marBottom w:val="0"/>
      <w:divBdr>
        <w:top w:val="none" w:sz="0" w:space="0" w:color="auto"/>
        <w:left w:val="none" w:sz="0" w:space="0" w:color="auto"/>
        <w:bottom w:val="none" w:sz="0" w:space="0" w:color="auto"/>
        <w:right w:val="none" w:sz="0" w:space="0" w:color="auto"/>
      </w:divBdr>
    </w:div>
    <w:div w:id="285434329">
      <w:bodyDiv w:val="1"/>
      <w:marLeft w:val="0"/>
      <w:marRight w:val="0"/>
      <w:marTop w:val="0"/>
      <w:marBottom w:val="0"/>
      <w:divBdr>
        <w:top w:val="none" w:sz="0" w:space="0" w:color="auto"/>
        <w:left w:val="none" w:sz="0" w:space="0" w:color="auto"/>
        <w:bottom w:val="none" w:sz="0" w:space="0" w:color="auto"/>
        <w:right w:val="none" w:sz="0" w:space="0" w:color="auto"/>
      </w:divBdr>
    </w:div>
    <w:div w:id="319114315">
      <w:bodyDiv w:val="1"/>
      <w:marLeft w:val="0"/>
      <w:marRight w:val="0"/>
      <w:marTop w:val="0"/>
      <w:marBottom w:val="0"/>
      <w:divBdr>
        <w:top w:val="none" w:sz="0" w:space="0" w:color="auto"/>
        <w:left w:val="none" w:sz="0" w:space="0" w:color="auto"/>
        <w:bottom w:val="none" w:sz="0" w:space="0" w:color="auto"/>
        <w:right w:val="none" w:sz="0" w:space="0" w:color="auto"/>
      </w:divBdr>
    </w:div>
    <w:div w:id="337973582">
      <w:bodyDiv w:val="1"/>
      <w:marLeft w:val="0"/>
      <w:marRight w:val="0"/>
      <w:marTop w:val="0"/>
      <w:marBottom w:val="0"/>
      <w:divBdr>
        <w:top w:val="none" w:sz="0" w:space="0" w:color="auto"/>
        <w:left w:val="none" w:sz="0" w:space="0" w:color="auto"/>
        <w:bottom w:val="none" w:sz="0" w:space="0" w:color="auto"/>
        <w:right w:val="none" w:sz="0" w:space="0" w:color="auto"/>
      </w:divBdr>
    </w:div>
    <w:div w:id="347490844">
      <w:bodyDiv w:val="1"/>
      <w:marLeft w:val="0"/>
      <w:marRight w:val="0"/>
      <w:marTop w:val="0"/>
      <w:marBottom w:val="0"/>
      <w:divBdr>
        <w:top w:val="none" w:sz="0" w:space="0" w:color="auto"/>
        <w:left w:val="none" w:sz="0" w:space="0" w:color="auto"/>
        <w:bottom w:val="none" w:sz="0" w:space="0" w:color="auto"/>
        <w:right w:val="none" w:sz="0" w:space="0" w:color="auto"/>
      </w:divBdr>
    </w:div>
    <w:div w:id="350684821">
      <w:bodyDiv w:val="1"/>
      <w:marLeft w:val="0"/>
      <w:marRight w:val="0"/>
      <w:marTop w:val="0"/>
      <w:marBottom w:val="0"/>
      <w:divBdr>
        <w:top w:val="none" w:sz="0" w:space="0" w:color="auto"/>
        <w:left w:val="none" w:sz="0" w:space="0" w:color="auto"/>
        <w:bottom w:val="none" w:sz="0" w:space="0" w:color="auto"/>
        <w:right w:val="none" w:sz="0" w:space="0" w:color="auto"/>
      </w:divBdr>
    </w:div>
    <w:div w:id="352852545">
      <w:bodyDiv w:val="1"/>
      <w:marLeft w:val="0"/>
      <w:marRight w:val="0"/>
      <w:marTop w:val="0"/>
      <w:marBottom w:val="0"/>
      <w:divBdr>
        <w:top w:val="none" w:sz="0" w:space="0" w:color="auto"/>
        <w:left w:val="none" w:sz="0" w:space="0" w:color="auto"/>
        <w:bottom w:val="none" w:sz="0" w:space="0" w:color="auto"/>
        <w:right w:val="none" w:sz="0" w:space="0" w:color="auto"/>
      </w:divBdr>
    </w:div>
    <w:div w:id="360324475">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95394761">
      <w:bodyDiv w:val="1"/>
      <w:marLeft w:val="0"/>
      <w:marRight w:val="0"/>
      <w:marTop w:val="0"/>
      <w:marBottom w:val="0"/>
      <w:divBdr>
        <w:top w:val="none" w:sz="0" w:space="0" w:color="auto"/>
        <w:left w:val="none" w:sz="0" w:space="0" w:color="auto"/>
        <w:bottom w:val="none" w:sz="0" w:space="0" w:color="auto"/>
        <w:right w:val="none" w:sz="0" w:space="0" w:color="auto"/>
      </w:divBdr>
    </w:div>
    <w:div w:id="400834965">
      <w:bodyDiv w:val="1"/>
      <w:marLeft w:val="0"/>
      <w:marRight w:val="0"/>
      <w:marTop w:val="0"/>
      <w:marBottom w:val="0"/>
      <w:divBdr>
        <w:top w:val="none" w:sz="0" w:space="0" w:color="auto"/>
        <w:left w:val="none" w:sz="0" w:space="0" w:color="auto"/>
        <w:bottom w:val="none" w:sz="0" w:space="0" w:color="auto"/>
        <w:right w:val="none" w:sz="0" w:space="0" w:color="auto"/>
      </w:divBdr>
    </w:div>
    <w:div w:id="402069824">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428625039">
      <w:bodyDiv w:val="1"/>
      <w:marLeft w:val="0"/>
      <w:marRight w:val="0"/>
      <w:marTop w:val="0"/>
      <w:marBottom w:val="0"/>
      <w:divBdr>
        <w:top w:val="none" w:sz="0" w:space="0" w:color="auto"/>
        <w:left w:val="none" w:sz="0" w:space="0" w:color="auto"/>
        <w:bottom w:val="none" w:sz="0" w:space="0" w:color="auto"/>
        <w:right w:val="none" w:sz="0" w:space="0" w:color="auto"/>
      </w:divBdr>
    </w:div>
    <w:div w:id="431821839">
      <w:bodyDiv w:val="1"/>
      <w:marLeft w:val="0"/>
      <w:marRight w:val="0"/>
      <w:marTop w:val="0"/>
      <w:marBottom w:val="0"/>
      <w:divBdr>
        <w:top w:val="none" w:sz="0" w:space="0" w:color="auto"/>
        <w:left w:val="none" w:sz="0" w:space="0" w:color="auto"/>
        <w:bottom w:val="none" w:sz="0" w:space="0" w:color="auto"/>
        <w:right w:val="none" w:sz="0" w:space="0" w:color="auto"/>
      </w:divBdr>
    </w:div>
    <w:div w:id="438529907">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166363">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505369546">
      <w:bodyDiv w:val="1"/>
      <w:marLeft w:val="0"/>
      <w:marRight w:val="0"/>
      <w:marTop w:val="0"/>
      <w:marBottom w:val="0"/>
      <w:divBdr>
        <w:top w:val="none" w:sz="0" w:space="0" w:color="auto"/>
        <w:left w:val="none" w:sz="0" w:space="0" w:color="auto"/>
        <w:bottom w:val="none" w:sz="0" w:space="0" w:color="auto"/>
        <w:right w:val="none" w:sz="0" w:space="0" w:color="auto"/>
      </w:divBdr>
    </w:div>
    <w:div w:id="535699638">
      <w:bodyDiv w:val="1"/>
      <w:marLeft w:val="0"/>
      <w:marRight w:val="0"/>
      <w:marTop w:val="0"/>
      <w:marBottom w:val="0"/>
      <w:divBdr>
        <w:top w:val="none" w:sz="0" w:space="0" w:color="auto"/>
        <w:left w:val="none" w:sz="0" w:space="0" w:color="auto"/>
        <w:bottom w:val="none" w:sz="0" w:space="0" w:color="auto"/>
        <w:right w:val="none" w:sz="0" w:space="0" w:color="auto"/>
      </w:divBdr>
    </w:div>
    <w:div w:id="548801284">
      <w:bodyDiv w:val="1"/>
      <w:marLeft w:val="0"/>
      <w:marRight w:val="0"/>
      <w:marTop w:val="0"/>
      <w:marBottom w:val="0"/>
      <w:divBdr>
        <w:top w:val="none" w:sz="0" w:space="0" w:color="auto"/>
        <w:left w:val="none" w:sz="0" w:space="0" w:color="auto"/>
        <w:bottom w:val="none" w:sz="0" w:space="0" w:color="auto"/>
        <w:right w:val="none" w:sz="0" w:space="0" w:color="auto"/>
      </w:divBdr>
    </w:div>
    <w:div w:id="562713066">
      <w:bodyDiv w:val="1"/>
      <w:marLeft w:val="0"/>
      <w:marRight w:val="0"/>
      <w:marTop w:val="0"/>
      <w:marBottom w:val="0"/>
      <w:divBdr>
        <w:top w:val="none" w:sz="0" w:space="0" w:color="auto"/>
        <w:left w:val="none" w:sz="0" w:space="0" w:color="auto"/>
        <w:bottom w:val="none" w:sz="0" w:space="0" w:color="auto"/>
        <w:right w:val="none" w:sz="0" w:space="0" w:color="auto"/>
      </w:divBdr>
    </w:div>
    <w:div w:id="567493977">
      <w:bodyDiv w:val="1"/>
      <w:marLeft w:val="0"/>
      <w:marRight w:val="0"/>
      <w:marTop w:val="0"/>
      <w:marBottom w:val="0"/>
      <w:divBdr>
        <w:top w:val="none" w:sz="0" w:space="0" w:color="auto"/>
        <w:left w:val="none" w:sz="0" w:space="0" w:color="auto"/>
        <w:bottom w:val="none" w:sz="0" w:space="0" w:color="auto"/>
        <w:right w:val="none" w:sz="0" w:space="0" w:color="auto"/>
      </w:divBdr>
    </w:div>
    <w:div w:id="570627098">
      <w:bodyDiv w:val="1"/>
      <w:marLeft w:val="0"/>
      <w:marRight w:val="0"/>
      <w:marTop w:val="0"/>
      <w:marBottom w:val="0"/>
      <w:divBdr>
        <w:top w:val="none" w:sz="0" w:space="0" w:color="auto"/>
        <w:left w:val="none" w:sz="0" w:space="0" w:color="auto"/>
        <w:bottom w:val="none" w:sz="0" w:space="0" w:color="auto"/>
        <w:right w:val="none" w:sz="0" w:space="0" w:color="auto"/>
      </w:divBdr>
    </w:div>
    <w:div w:id="573705270">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588781288">
      <w:bodyDiv w:val="1"/>
      <w:marLeft w:val="0"/>
      <w:marRight w:val="0"/>
      <w:marTop w:val="0"/>
      <w:marBottom w:val="0"/>
      <w:divBdr>
        <w:top w:val="none" w:sz="0" w:space="0" w:color="auto"/>
        <w:left w:val="none" w:sz="0" w:space="0" w:color="auto"/>
        <w:bottom w:val="none" w:sz="0" w:space="0" w:color="auto"/>
        <w:right w:val="none" w:sz="0" w:space="0" w:color="auto"/>
      </w:divBdr>
    </w:div>
    <w:div w:id="599292129">
      <w:bodyDiv w:val="1"/>
      <w:marLeft w:val="0"/>
      <w:marRight w:val="0"/>
      <w:marTop w:val="0"/>
      <w:marBottom w:val="0"/>
      <w:divBdr>
        <w:top w:val="none" w:sz="0" w:space="0" w:color="auto"/>
        <w:left w:val="none" w:sz="0" w:space="0" w:color="auto"/>
        <w:bottom w:val="none" w:sz="0" w:space="0" w:color="auto"/>
        <w:right w:val="none" w:sz="0" w:space="0" w:color="auto"/>
      </w:divBdr>
    </w:div>
    <w:div w:id="651787055">
      <w:bodyDiv w:val="1"/>
      <w:marLeft w:val="0"/>
      <w:marRight w:val="0"/>
      <w:marTop w:val="0"/>
      <w:marBottom w:val="0"/>
      <w:divBdr>
        <w:top w:val="none" w:sz="0" w:space="0" w:color="auto"/>
        <w:left w:val="none" w:sz="0" w:space="0" w:color="auto"/>
        <w:bottom w:val="none" w:sz="0" w:space="0" w:color="auto"/>
        <w:right w:val="none" w:sz="0" w:space="0" w:color="auto"/>
      </w:divBdr>
    </w:div>
    <w:div w:id="676225740">
      <w:bodyDiv w:val="1"/>
      <w:marLeft w:val="0"/>
      <w:marRight w:val="0"/>
      <w:marTop w:val="0"/>
      <w:marBottom w:val="0"/>
      <w:divBdr>
        <w:top w:val="none" w:sz="0" w:space="0" w:color="auto"/>
        <w:left w:val="none" w:sz="0" w:space="0" w:color="auto"/>
        <w:bottom w:val="none" w:sz="0" w:space="0" w:color="auto"/>
        <w:right w:val="none" w:sz="0" w:space="0" w:color="auto"/>
      </w:divBdr>
    </w:div>
    <w:div w:id="688605077">
      <w:bodyDiv w:val="1"/>
      <w:marLeft w:val="0"/>
      <w:marRight w:val="0"/>
      <w:marTop w:val="0"/>
      <w:marBottom w:val="0"/>
      <w:divBdr>
        <w:top w:val="none" w:sz="0" w:space="0" w:color="auto"/>
        <w:left w:val="none" w:sz="0" w:space="0" w:color="auto"/>
        <w:bottom w:val="none" w:sz="0" w:space="0" w:color="auto"/>
        <w:right w:val="none" w:sz="0" w:space="0" w:color="auto"/>
      </w:divBdr>
    </w:div>
    <w:div w:id="695738894">
      <w:bodyDiv w:val="1"/>
      <w:marLeft w:val="0"/>
      <w:marRight w:val="0"/>
      <w:marTop w:val="0"/>
      <w:marBottom w:val="0"/>
      <w:divBdr>
        <w:top w:val="none" w:sz="0" w:space="0" w:color="auto"/>
        <w:left w:val="none" w:sz="0" w:space="0" w:color="auto"/>
        <w:bottom w:val="none" w:sz="0" w:space="0" w:color="auto"/>
        <w:right w:val="none" w:sz="0" w:space="0" w:color="auto"/>
      </w:divBdr>
    </w:div>
    <w:div w:id="700980830">
      <w:bodyDiv w:val="1"/>
      <w:marLeft w:val="0"/>
      <w:marRight w:val="0"/>
      <w:marTop w:val="0"/>
      <w:marBottom w:val="0"/>
      <w:divBdr>
        <w:top w:val="none" w:sz="0" w:space="0" w:color="auto"/>
        <w:left w:val="none" w:sz="0" w:space="0" w:color="auto"/>
        <w:bottom w:val="none" w:sz="0" w:space="0" w:color="auto"/>
        <w:right w:val="none" w:sz="0" w:space="0" w:color="auto"/>
      </w:divBdr>
    </w:div>
    <w:div w:id="702747438">
      <w:bodyDiv w:val="1"/>
      <w:marLeft w:val="0"/>
      <w:marRight w:val="0"/>
      <w:marTop w:val="0"/>
      <w:marBottom w:val="0"/>
      <w:divBdr>
        <w:top w:val="none" w:sz="0" w:space="0" w:color="auto"/>
        <w:left w:val="none" w:sz="0" w:space="0" w:color="auto"/>
        <w:bottom w:val="none" w:sz="0" w:space="0" w:color="auto"/>
        <w:right w:val="none" w:sz="0" w:space="0" w:color="auto"/>
      </w:divBdr>
    </w:div>
    <w:div w:id="763107504">
      <w:bodyDiv w:val="1"/>
      <w:marLeft w:val="0"/>
      <w:marRight w:val="0"/>
      <w:marTop w:val="0"/>
      <w:marBottom w:val="0"/>
      <w:divBdr>
        <w:top w:val="none" w:sz="0" w:space="0" w:color="auto"/>
        <w:left w:val="none" w:sz="0" w:space="0" w:color="auto"/>
        <w:bottom w:val="none" w:sz="0" w:space="0" w:color="auto"/>
        <w:right w:val="none" w:sz="0" w:space="0" w:color="auto"/>
      </w:divBdr>
    </w:div>
    <w:div w:id="787578201">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14563790">
      <w:bodyDiv w:val="1"/>
      <w:marLeft w:val="0"/>
      <w:marRight w:val="0"/>
      <w:marTop w:val="0"/>
      <w:marBottom w:val="0"/>
      <w:divBdr>
        <w:top w:val="none" w:sz="0" w:space="0" w:color="auto"/>
        <w:left w:val="none" w:sz="0" w:space="0" w:color="auto"/>
        <w:bottom w:val="none" w:sz="0" w:space="0" w:color="auto"/>
        <w:right w:val="none" w:sz="0" w:space="0" w:color="auto"/>
      </w:divBdr>
    </w:div>
    <w:div w:id="817766322">
      <w:bodyDiv w:val="1"/>
      <w:marLeft w:val="0"/>
      <w:marRight w:val="0"/>
      <w:marTop w:val="0"/>
      <w:marBottom w:val="0"/>
      <w:divBdr>
        <w:top w:val="none" w:sz="0" w:space="0" w:color="auto"/>
        <w:left w:val="none" w:sz="0" w:space="0" w:color="auto"/>
        <w:bottom w:val="none" w:sz="0" w:space="0" w:color="auto"/>
        <w:right w:val="none" w:sz="0" w:space="0" w:color="auto"/>
      </w:divBdr>
    </w:div>
    <w:div w:id="826937584">
      <w:bodyDiv w:val="1"/>
      <w:marLeft w:val="0"/>
      <w:marRight w:val="0"/>
      <w:marTop w:val="0"/>
      <w:marBottom w:val="0"/>
      <w:divBdr>
        <w:top w:val="none" w:sz="0" w:space="0" w:color="auto"/>
        <w:left w:val="none" w:sz="0" w:space="0" w:color="auto"/>
        <w:bottom w:val="none" w:sz="0" w:space="0" w:color="auto"/>
        <w:right w:val="none" w:sz="0" w:space="0" w:color="auto"/>
      </w:divBdr>
    </w:div>
    <w:div w:id="834540397">
      <w:bodyDiv w:val="1"/>
      <w:marLeft w:val="0"/>
      <w:marRight w:val="0"/>
      <w:marTop w:val="0"/>
      <w:marBottom w:val="0"/>
      <w:divBdr>
        <w:top w:val="none" w:sz="0" w:space="0" w:color="auto"/>
        <w:left w:val="none" w:sz="0" w:space="0" w:color="auto"/>
        <w:bottom w:val="none" w:sz="0" w:space="0" w:color="auto"/>
        <w:right w:val="none" w:sz="0" w:space="0" w:color="auto"/>
      </w:divBdr>
    </w:div>
    <w:div w:id="835145224">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859467334">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87989612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11089162">
      <w:bodyDiv w:val="1"/>
      <w:marLeft w:val="0"/>
      <w:marRight w:val="0"/>
      <w:marTop w:val="0"/>
      <w:marBottom w:val="0"/>
      <w:divBdr>
        <w:top w:val="none" w:sz="0" w:space="0" w:color="auto"/>
        <w:left w:val="none" w:sz="0" w:space="0" w:color="auto"/>
        <w:bottom w:val="none" w:sz="0" w:space="0" w:color="auto"/>
        <w:right w:val="none" w:sz="0" w:space="0" w:color="auto"/>
      </w:divBdr>
    </w:div>
    <w:div w:id="924803050">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949775003">
      <w:bodyDiv w:val="1"/>
      <w:marLeft w:val="0"/>
      <w:marRight w:val="0"/>
      <w:marTop w:val="0"/>
      <w:marBottom w:val="0"/>
      <w:divBdr>
        <w:top w:val="none" w:sz="0" w:space="0" w:color="auto"/>
        <w:left w:val="none" w:sz="0" w:space="0" w:color="auto"/>
        <w:bottom w:val="none" w:sz="0" w:space="0" w:color="auto"/>
        <w:right w:val="none" w:sz="0" w:space="0" w:color="auto"/>
      </w:divBdr>
    </w:div>
    <w:div w:id="954947189">
      <w:bodyDiv w:val="1"/>
      <w:marLeft w:val="0"/>
      <w:marRight w:val="0"/>
      <w:marTop w:val="0"/>
      <w:marBottom w:val="0"/>
      <w:divBdr>
        <w:top w:val="none" w:sz="0" w:space="0" w:color="auto"/>
        <w:left w:val="none" w:sz="0" w:space="0" w:color="auto"/>
        <w:bottom w:val="none" w:sz="0" w:space="0" w:color="auto"/>
        <w:right w:val="none" w:sz="0" w:space="0" w:color="auto"/>
      </w:divBdr>
    </w:div>
    <w:div w:id="970670211">
      <w:bodyDiv w:val="1"/>
      <w:marLeft w:val="0"/>
      <w:marRight w:val="0"/>
      <w:marTop w:val="0"/>
      <w:marBottom w:val="0"/>
      <w:divBdr>
        <w:top w:val="none" w:sz="0" w:space="0" w:color="auto"/>
        <w:left w:val="none" w:sz="0" w:space="0" w:color="auto"/>
        <w:bottom w:val="none" w:sz="0" w:space="0" w:color="auto"/>
        <w:right w:val="none" w:sz="0" w:space="0" w:color="auto"/>
      </w:divBdr>
    </w:div>
    <w:div w:id="978150502">
      <w:bodyDiv w:val="1"/>
      <w:marLeft w:val="0"/>
      <w:marRight w:val="0"/>
      <w:marTop w:val="0"/>
      <w:marBottom w:val="0"/>
      <w:divBdr>
        <w:top w:val="none" w:sz="0" w:space="0" w:color="auto"/>
        <w:left w:val="none" w:sz="0" w:space="0" w:color="auto"/>
        <w:bottom w:val="none" w:sz="0" w:space="0" w:color="auto"/>
        <w:right w:val="none" w:sz="0" w:space="0" w:color="auto"/>
      </w:divBdr>
    </w:div>
    <w:div w:id="978608732">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030255175">
      <w:bodyDiv w:val="1"/>
      <w:marLeft w:val="0"/>
      <w:marRight w:val="0"/>
      <w:marTop w:val="0"/>
      <w:marBottom w:val="0"/>
      <w:divBdr>
        <w:top w:val="none" w:sz="0" w:space="0" w:color="auto"/>
        <w:left w:val="none" w:sz="0" w:space="0" w:color="auto"/>
        <w:bottom w:val="none" w:sz="0" w:space="0" w:color="auto"/>
        <w:right w:val="none" w:sz="0" w:space="0" w:color="auto"/>
      </w:divBdr>
    </w:div>
    <w:div w:id="1036349673">
      <w:bodyDiv w:val="1"/>
      <w:marLeft w:val="0"/>
      <w:marRight w:val="0"/>
      <w:marTop w:val="0"/>
      <w:marBottom w:val="0"/>
      <w:divBdr>
        <w:top w:val="none" w:sz="0" w:space="0" w:color="auto"/>
        <w:left w:val="none" w:sz="0" w:space="0" w:color="auto"/>
        <w:bottom w:val="none" w:sz="0" w:space="0" w:color="auto"/>
        <w:right w:val="none" w:sz="0" w:space="0" w:color="auto"/>
      </w:divBdr>
    </w:div>
    <w:div w:id="1093748482">
      <w:bodyDiv w:val="1"/>
      <w:marLeft w:val="0"/>
      <w:marRight w:val="0"/>
      <w:marTop w:val="0"/>
      <w:marBottom w:val="0"/>
      <w:divBdr>
        <w:top w:val="none" w:sz="0" w:space="0" w:color="auto"/>
        <w:left w:val="none" w:sz="0" w:space="0" w:color="auto"/>
        <w:bottom w:val="none" w:sz="0" w:space="0" w:color="auto"/>
        <w:right w:val="none" w:sz="0" w:space="0" w:color="auto"/>
      </w:divBdr>
    </w:div>
    <w:div w:id="1109544972">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22767962">
      <w:bodyDiv w:val="1"/>
      <w:marLeft w:val="0"/>
      <w:marRight w:val="0"/>
      <w:marTop w:val="0"/>
      <w:marBottom w:val="0"/>
      <w:divBdr>
        <w:top w:val="none" w:sz="0" w:space="0" w:color="auto"/>
        <w:left w:val="none" w:sz="0" w:space="0" w:color="auto"/>
        <w:bottom w:val="none" w:sz="0" w:space="0" w:color="auto"/>
        <w:right w:val="none" w:sz="0" w:space="0" w:color="auto"/>
      </w:divBdr>
    </w:div>
    <w:div w:id="1138960872">
      <w:bodyDiv w:val="1"/>
      <w:marLeft w:val="0"/>
      <w:marRight w:val="0"/>
      <w:marTop w:val="0"/>
      <w:marBottom w:val="0"/>
      <w:divBdr>
        <w:top w:val="none" w:sz="0" w:space="0" w:color="auto"/>
        <w:left w:val="none" w:sz="0" w:space="0" w:color="auto"/>
        <w:bottom w:val="none" w:sz="0" w:space="0" w:color="auto"/>
        <w:right w:val="none" w:sz="0" w:space="0" w:color="auto"/>
      </w:divBdr>
    </w:div>
    <w:div w:id="1147749600">
      <w:bodyDiv w:val="1"/>
      <w:marLeft w:val="0"/>
      <w:marRight w:val="0"/>
      <w:marTop w:val="0"/>
      <w:marBottom w:val="0"/>
      <w:divBdr>
        <w:top w:val="none" w:sz="0" w:space="0" w:color="auto"/>
        <w:left w:val="none" w:sz="0" w:space="0" w:color="auto"/>
        <w:bottom w:val="none" w:sz="0" w:space="0" w:color="auto"/>
        <w:right w:val="none" w:sz="0" w:space="0" w:color="auto"/>
      </w:divBdr>
    </w:div>
    <w:div w:id="1161500852">
      <w:bodyDiv w:val="1"/>
      <w:marLeft w:val="0"/>
      <w:marRight w:val="0"/>
      <w:marTop w:val="0"/>
      <w:marBottom w:val="0"/>
      <w:divBdr>
        <w:top w:val="none" w:sz="0" w:space="0" w:color="auto"/>
        <w:left w:val="none" w:sz="0" w:space="0" w:color="auto"/>
        <w:bottom w:val="none" w:sz="0" w:space="0" w:color="auto"/>
        <w:right w:val="none" w:sz="0" w:space="0" w:color="auto"/>
      </w:divBdr>
    </w:div>
    <w:div w:id="1174222794">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188375784">
      <w:bodyDiv w:val="1"/>
      <w:marLeft w:val="0"/>
      <w:marRight w:val="0"/>
      <w:marTop w:val="0"/>
      <w:marBottom w:val="0"/>
      <w:divBdr>
        <w:top w:val="none" w:sz="0" w:space="0" w:color="auto"/>
        <w:left w:val="none" w:sz="0" w:space="0" w:color="auto"/>
        <w:bottom w:val="none" w:sz="0" w:space="0" w:color="auto"/>
        <w:right w:val="none" w:sz="0" w:space="0" w:color="auto"/>
      </w:divBdr>
    </w:div>
    <w:div w:id="1190872791">
      <w:bodyDiv w:val="1"/>
      <w:marLeft w:val="0"/>
      <w:marRight w:val="0"/>
      <w:marTop w:val="0"/>
      <w:marBottom w:val="0"/>
      <w:divBdr>
        <w:top w:val="none" w:sz="0" w:space="0" w:color="auto"/>
        <w:left w:val="none" w:sz="0" w:space="0" w:color="auto"/>
        <w:bottom w:val="none" w:sz="0" w:space="0" w:color="auto"/>
        <w:right w:val="none" w:sz="0" w:space="0" w:color="auto"/>
      </w:divBdr>
    </w:div>
    <w:div w:id="1196697356">
      <w:bodyDiv w:val="1"/>
      <w:marLeft w:val="0"/>
      <w:marRight w:val="0"/>
      <w:marTop w:val="0"/>
      <w:marBottom w:val="0"/>
      <w:divBdr>
        <w:top w:val="none" w:sz="0" w:space="0" w:color="auto"/>
        <w:left w:val="none" w:sz="0" w:space="0" w:color="auto"/>
        <w:bottom w:val="none" w:sz="0" w:space="0" w:color="auto"/>
        <w:right w:val="none" w:sz="0" w:space="0" w:color="auto"/>
      </w:divBdr>
    </w:div>
    <w:div w:id="1220747288">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28031496">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246233055">
      <w:bodyDiv w:val="1"/>
      <w:marLeft w:val="0"/>
      <w:marRight w:val="0"/>
      <w:marTop w:val="0"/>
      <w:marBottom w:val="0"/>
      <w:divBdr>
        <w:top w:val="none" w:sz="0" w:space="0" w:color="auto"/>
        <w:left w:val="none" w:sz="0" w:space="0" w:color="auto"/>
        <w:bottom w:val="none" w:sz="0" w:space="0" w:color="auto"/>
        <w:right w:val="none" w:sz="0" w:space="0" w:color="auto"/>
      </w:divBdr>
    </w:div>
    <w:div w:id="1252471724">
      <w:bodyDiv w:val="1"/>
      <w:marLeft w:val="0"/>
      <w:marRight w:val="0"/>
      <w:marTop w:val="0"/>
      <w:marBottom w:val="0"/>
      <w:divBdr>
        <w:top w:val="none" w:sz="0" w:space="0" w:color="auto"/>
        <w:left w:val="none" w:sz="0" w:space="0" w:color="auto"/>
        <w:bottom w:val="none" w:sz="0" w:space="0" w:color="auto"/>
        <w:right w:val="none" w:sz="0" w:space="0" w:color="auto"/>
      </w:divBdr>
    </w:div>
    <w:div w:id="1253323545">
      <w:bodyDiv w:val="1"/>
      <w:marLeft w:val="0"/>
      <w:marRight w:val="0"/>
      <w:marTop w:val="0"/>
      <w:marBottom w:val="0"/>
      <w:divBdr>
        <w:top w:val="none" w:sz="0" w:space="0" w:color="auto"/>
        <w:left w:val="none" w:sz="0" w:space="0" w:color="auto"/>
        <w:bottom w:val="none" w:sz="0" w:space="0" w:color="auto"/>
        <w:right w:val="none" w:sz="0" w:space="0" w:color="auto"/>
      </w:divBdr>
    </w:div>
    <w:div w:id="1271206938">
      <w:bodyDiv w:val="1"/>
      <w:marLeft w:val="0"/>
      <w:marRight w:val="0"/>
      <w:marTop w:val="0"/>
      <w:marBottom w:val="0"/>
      <w:divBdr>
        <w:top w:val="none" w:sz="0" w:space="0" w:color="auto"/>
        <w:left w:val="none" w:sz="0" w:space="0" w:color="auto"/>
        <w:bottom w:val="none" w:sz="0" w:space="0" w:color="auto"/>
        <w:right w:val="none" w:sz="0" w:space="0" w:color="auto"/>
      </w:divBdr>
    </w:div>
    <w:div w:id="1276641585">
      <w:bodyDiv w:val="1"/>
      <w:marLeft w:val="0"/>
      <w:marRight w:val="0"/>
      <w:marTop w:val="0"/>
      <w:marBottom w:val="0"/>
      <w:divBdr>
        <w:top w:val="none" w:sz="0" w:space="0" w:color="auto"/>
        <w:left w:val="none" w:sz="0" w:space="0" w:color="auto"/>
        <w:bottom w:val="none" w:sz="0" w:space="0" w:color="auto"/>
        <w:right w:val="none" w:sz="0" w:space="0" w:color="auto"/>
      </w:divBdr>
    </w:div>
    <w:div w:id="1282298075">
      <w:bodyDiv w:val="1"/>
      <w:marLeft w:val="0"/>
      <w:marRight w:val="0"/>
      <w:marTop w:val="0"/>
      <w:marBottom w:val="0"/>
      <w:divBdr>
        <w:top w:val="none" w:sz="0" w:space="0" w:color="auto"/>
        <w:left w:val="none" w:sz="0" w:space="0" w:color="auto"/>
        <w:bottom w:val="none" w:sz="0" w:space="0" w:color="auto"/>
        <w:right w:val="none" w:sz="0" w:space="0" w:color="auto"/>
      </w:divBdr>
    </w:div>
    <w:div w:id="1297371866">
      <w:bodyDiv w:val="1"/>
      <w:marLeft w:val="0"/>
      <w:marRight w:val="0"/>
      <w:marTop w:val="0"/>
      <w:marBottom w:val="0"/>
      <w:divBdr>
        <w:top w:val="none" w:sz="0" w:space="0" w:color="auto"/>
        <w:left w:val="none" w:sz="0" w:space="0" w:color="auto"/>
        <w:bottom w:val="none" w:sz="0" w:space="0" w:color="auto"/>
        <w:right w:val="none" w:sz="0" w:space="0" w:color="auto"/>
      </w:divBdr>
    </w:div>
    <w:div w:id="1304313193">
      <w:bodyDiv w:val="1"/>
      <w:marLeft w:val="0"/>
      <w:marRight w:val="0"/>
      <w:marTop w:val="0"/>
      <w:marBottom w:val="0"/>
      <w:divBdr>
        <w:top w:val="none" w:sz="0" w:space="0" w:color="auto"/>
        <w:left w:val="none" w:sz="0" w:space="0" w:color="auto"/>
        <w:bottom w:val="none" w:sz="0" w:space="0" w:color="auto"/>
        <w:right w:val="none" w:sz="0" w:space="0" w:color="auto"/>
      </w:divBdr>
    </w:div>
    <w:div w:id="1305155439">
      <w:bodyDiv w:val="1"/>
      <w:marLeft w:val="0"/>
      <w:marRight w:val="0"/>
      <w:marTop w:val="0"/>
      <w:marBottom w:val="0"/>
      <w:divBdr>
        <w:top w:val="none" w:sz="0" w:space="0" w:color="auto"/>
        <w:left w:val="none" w:sz="0" w:space="0" w:color="auto"/>
        <w:bottom w:val="none" w:sz="0" w:space="0" w:color="auto"/>
        <w:right w:val="none" w:sz="0" w:space="0" w:color="auto"/>
      </w:divBdr>
    </w:div>
    <w:div w:id="1322075940">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387140551">
      <w:bodyDiv w:val="1"/>
      <w:marLeft w:val="0"/>
      <w:marRight w:val="0"/>
      <w:marTop w:val="0"/>
      <w:marBottom w:val="0"/>
      <w:divBdr>
        <w:top w:val="none" w:sz="0" w:space="0" w:color="auto"/>
        <w:left w:val="none" w:sz="0" w:space="0" w:color="auto"/>
        <w:bottom w:val="none" w:sz="0" w:space="0" w:color="auto"/>
        <w:right w:val="none" w:sz="0" w:space="0" w:color="auto"/>
      </w:divBdr>
    </w:div>
    <w:div w:id="1389264327">
      <w:bodyDiv w:val="1"/>
      <w:marLeft w:val="0"/>
      <w:marRight w:val="0"/>
      <w:marTop w:val="0"/>
      <w:marBottom w:val="0"/>
      <w:divBdr>
        <w:top w:val="none" w:sz="0" w:space="0" w:color="auto"/>
        <w:left w:val="none" w:sz="0" w:space="0" w:color="auto"/>
        <w:bottom w:val="none" w:sz="0" w:space="0" w:color="auto"/>
        <w:right w:val="none" w:sz="0" w:space="0" w:color="auto"/>
      </w:divBdr>
    </w:div>
    <w:div w:id="1405370256">
      <w:bodyDiv w:val="1"/>
      <w:marLeft w:val="0"/>
      <w:marRight w:val="0"/>
      <w:marTop w:val="0"/>
      <w:marBottom w:val="0"/>
      <w:divBdr>
        <w:top w:val="none" w:sz="0" w:space="0" w:color="auto"/>
        <w:left w:val="none" w:sz="0" w:space="0" w:color="auto"/>
        <w:bottom w:val="none" w:sz="0" w:space="0" w:color="auto"/>
        <w:right w:val="none" w:sz="0" w:space="0" w:color="auto"/>
      </w:divBdr>
    </w:div>
    <w:div w:id="1405908896">
      <w:bodyDiv w:val="1"/>
      <w:marLeft w:val="0"/>
      <w:marRight w:val="0"/>
      <w:marTop w:val="0"/>
      <w:marBottom w:val="0"/>
      <w:divBdr>
        <w:top w:val="none" w:sz="0" w:space="0" w:color="auto"/>
        <w:left w:val="none" w:sz="0" w:space="0" w:color="auto"/>
        <w:bottom w:val="none" w:sz="0" w:space="0" w:color="auto"/>
        <w:right w:val="none" w:sz="0" w:space="0" w:color="auto"/>
      </w:divBdr>
    </w:div>
    <w:div w:id="1421684087">
      <w:bodyDiv w:val="1"/>
      <w:marLeft w:val="0"/>
      <w:marRight w:val="0"/>
      <w:marTop w:val="0"/>
      <w:marBottom w:val="0"/>
      <w:divBdr>
        <w:top w:val="none" w:sz="0" w:space="0" w:color="auto"/>
        <w:left w:val="none" w:sz="0" w:space="0" w:color="auto"/>
        <w:bottom w:val="none" w:sz="0" w:space="0" w:color="auto"/>
        <w:right w:val="none" w:sz="0" w:space="0" w:color="auto"/>
      </w:divBdr>
    </w:div>
    <w:div w:id="1422601016">
      <w:bodyDiv w:val="1"/>
      <w:marLeft w:val="0"/>
      <w:marRight w:val="0"/>
      <w:marTop w:val="0"/>
      <w:marBottom w:val="0"/>
      <w:divBdr>
        <w:top w:val="none" w:sz="0" w:space="0" w:color="auto"/>
        <w:left w:val="none" w:sz="0" w:space="0" w:color="auto"/>
        <w:bottom w:val="none" w:sz="0" w:space="0" w:color="auto"/>
        <w:right w:val="none" w:sz="0" w:space="0" w:color="auto"/>
      </w:divBdr>
    </w:div>
    <w:div w:id="1424451340">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9807717">
      <w:bodyDiv w:val="1"/>
      <w:marLeft w:val="0"/>
      <w:marRight w:val="0"/>
      <w:marTop w:val="0"/>
      <w:marBottom w:val="0"/>
      <w:divBdr>
        <w:top w:val="none" w:sz="0" w:space="0" w:color="auto"/>
        <w:left w:val="none" w:sz="0" w:space="0" w:color="auto"/>
        <w:bottom w:val="none" w:sz="0" w:space="0" w:color="auto"/>
        <w:right w:val="none" w:sz="0" w:space="0" w:color="auto"/>
      </w:divBdr>
    </w:div>
    <w:div w:id="1430345334">
      <w:bodyDiv w:val="1"/>
      <w:marLeft w:val="0"/>
      <w:marRight w:val="0"/>
      <w:marTop w:val="0"/>
      <w:marBottom w:val="0"/>
      <w:divBdr>
        <w:top w:val="none" w:sz="0" w:space="0" w:color="auto"/>
        <w:left w:val="none" w:sz="0" w:space="0" w:color="auto"/>
        <w:bottom w:val="none" w:sz="0" w:space="0" w:color="auto"/>
        <w:right w:val="none" w:sz="0" w:space="0" w:color="auto"/>
      </w:divBdr>
    </w:div>
    <w:div w:id="1430540675">
      <w:bodyDiv w:val="1"/>
      <w:marLeft w:val="0"/>
      <w:marRight w:val="0"/>
      <w:marTop w:val="0"/>
      <w:marBottom w:val="0"/>
      <w:divBdr>
        <w:top w:val="none" w:sz="0" w:space="0" w:color="auto"/>
        <w:left w:val="none" w:sz="0" w:space="0" w:color="auto"/>
        <w:bottom w:val="none" w:sz="0" w:space="0" w:color="auto"/>
        <w:right w:val="none" w:sz="0" w:space="0" w:color="auto"/>
      </w:divBdr>
    </w:div>
    <w:div w:id="1485001613">
      <w:bodyDiv w:val="1"/>
      <w:marLeft w:val="0"/>
      <w:marRight w:val="0"/>
      <w:marTop w:val="0"/>
      <w:marBottom w:val="0"/>
      <w:divBdr>
        <w:top w:val="none" w:sz="0" w:space="0" w:color="auto"/>
        <w:left w:val="none" w:sz="0" w:space="0" w:color="auto"/>
        <w:bottom w:val="none" w:sz="0" w:space="0" w:color="auto"/>
        <w:right w:val="none" w:sz="0" w:space="0" w:color="auto"/>
      </w:divBdr>
    </w:div>
    <w:div w:id="1486119053">
      <w:bodyDiv w:val="1"/>
      <w:marLeft w:val="0"/>
      <w:marRight w:val="0"/>
      <w:marTop w:val="0"/>
      <w:marBottom w:val="0"/>
      <w:divBdr>
        <w:top w:val="none" w:sz="0" w:space="0" w:color="auto"/>
        <w:left w:val="none" w:sz="0" w:space="0" w:color="auto"/>
        <w:bottom w:val="none" w:sz="0" w:space="0" w:color="auto"/>
        <w:right w:val="none" w:sz="0" w:space="0" w:color="auto"/>
      </w:divBdr>
    </w:div>
    <w:div w:id="1503740870">
      <w:bodyDiv w:val="1"/>
      <w:marLeft w:val="0"/>
      <w:marRight w:val="0"/>
      <w:marTop w:val="0"/>
      <w:marBottom w:val="0"/>
      <w:divBdr>
        <w:top w:val="none" w:sz="0" w:space="0" w:color="auto"/>
        <w:left w:val="none" w:sz="0" w:space="0" w:color="auto"/>
        <w:bottom w:val="none" w:sz="0" w:space="0" w:color="auto"/>
        <w:right w:val="none" w:sz="0" w:space="0" w:color="auto"/>
      </w:divBdr>
    </w:div>
    <w:div w:id="1516924714">
      <w:bodyDiv w:val="1"/>
      <w:marLeft w:val="0"/>
      <w:marRight w:val="0"/>
      <w:marTop w:val="0"/>
      <w:marBottom w:val="0"/>
      <w:divBdr>
        <w:top w:val="none" w:sz="0" w:space="0" w:color="auto"/>
        <w:left w:val="none" w:sz="0" w:space="0" w:color="auto"/>
        <w:bottom w:val="none" w:sz="0" w:space="0" w:color="auto"/>
        <w:right w:val="none" w:sz="0" w:space="0" w:color="auto"/>
      </w:divBdr>
    </w:div>
    <w:div w:id="1521815938">
      <w:bodyDiv w:val="1"/>
      <w:marLeft w:val="0"/>
      <w:marRight w:val="0"/>
      <w:marTop w:val="0"/>
      <w:marBottom w:val="0"/>
      <w:divBdr>
        <w:top w:val="none" w:sz="0" w:space="0" w:color="auto"/>
        <w:left w:val="none" w:sz="0" w:space="0" w:color="auto"/>
        <w:bottom w:val="none" w:sz="0" w:space="0" w:color="auto"/>
        <w:right w:val="none" w:sz="0" w:space="0" w:color="auto"/>
      </w:divBdr>
    </w:div>
    <w:div w:id="1562014677">
      <w:bodyDiv w:val="1"/>
      <w:marLeft w:val="0"/>
      <w:marRight w:val="0"/>
      <w:marTop w:val="0"/>
      <w:marBottom w:val="0"/>
      <w:divBdr>
        <w:top w:val="none" w:sz="0" w:space="0" w:color="auto"/>
        <w:left w:val="none" w:sz="0" w:space="0" w:color="auto"/>
        <w:bottom w:val="none" w:sz="0" w:space="0" w:color="auto"/>
        <w:right w:val="none" w:sz="0" w:space="0" w:color="auto"/>
      </w:divBdr>
    </w:div>
    <w:div w:id="1583563667">
      <w:bodyDiv w:val="1"/>
      <w:marLeft w:val="0"/>
      <w:marRight w:val="0"/>
      <w:marTop w:val="0"/>
      <w:marBottom w:val="0"/>
      <w:divBdr>
        <w:top w:val="none" w:sz="0" w:space="0" w:color="auto"/>
        <w:left w:val="none" w:sz="0" w:space="0" w:color="auto"/>
        <w:bottom w:val="none" w:sz="0" w:space="0" w:color="auto"/>
        <w:right w:val="none" w:sz="0" w:space="0" w:color="auto"/>
      </w:divBdr>
    </w:div>
    <w:div w:id="1583755497">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30237792">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652904538">
      <w:bodyDiv w:val="1"/>
      <w:marLeft w:val="0"/>
      <w:marRight w:val="0"/>
      <w:marTop w:val="0"/>
      <w:marBottom w:val="0"/>
      <w:divBdr>
        <w:top w:val="none" w:sz="0" w:space="0" w:color="auto"/>
        <w:left w:val="none" w:sz="0" w:space="0" w:color="auto"/>
        <w:bottom w:val="none" w:sz="0" w:space="0" w:color="auto"/>
        <w:right w:val="none" w:sz="0" w:space="0" w:color="auto"/>
      </w:divBdr>
    </w:div>
    <w:div w:id="1661076127">
      <w:bodyDiv w:val="1"/>
      <w:marLeft w:val="0"/>
      <w:marRight w:val="0"/>
      <w:marTop w:val="0"/>
      <w:marBottom w:val="0"/>
      <w:divBdr>
        <w:top w:val="none" w:sz="0" w:space="0" w:color="auto"/>
        <w:left w:val="none" w:sz="0" w:space="0" w:color="auto"/>
        <w:bottom w:val="none" w:sz="0" w:space="0" w:color="auto"/>
        <w:right w:val="none" w:sz="0" w:space="0" w:color="auto"/>
      </w:divBdr>
    </w:div>
    <w:div w:id="1664315666">
      <w:bodyDiv w:val="1"/>
      <w:marLeft w:val="0"/>
      <w:marRight w:val="0"/>
      <w:marTop w:val="0"/>
      <w:marBottom w:val="0"/>
      <w:divBdr>
        <w:top w:val="none" w:sz="0" w:space="0" w:color="auto"/>
        <w:left w:val="none" w:sz="0" w:space="0" w:color="auto"/>
        <w:bottom w:val="none" w:sz="0" w:space="0" w:color="auto"/>
        <w:right w:val="none" w:sz="0" w:space="0" w:color="auto"/>
      </w:divBdr>
    </w:div>
    <w:div w:id="1667980136">
      <w:bodyDiv w:val="1"/>
      <w:marLeft w:val="0"/>
      <w:marRight w:val="0"/>
      <w:marTop w:val="0"/>
      <w:marBottom w:val="0"/>
      <w:divBdr>
        <w:top w:val="none" w:sz="0" w:space="0" w:color="auto"/>
        <w:left w:val="none" w:sz="0" w:space="0" w:color="auto"/>
        <w:bottom w:val="none" w:sz="0" w:space="0" w:color="auto"/>
        <w:right w:val="none" w:sz="0" w:space="0" w:color="auto"/>
      </w:divBdr>
    </w:div>
    <w:div w:id="1669678022">
      <w:bodyDiv w:val="1"/>
      <w:marLeft w:val="0"/>
      <w:marRight w:val="0"/>
      <w:marTop w:val="0"/>
      <w:marBottom w:val="0"/>
      <w:divBdr>
        <w:top w:val="none" w:sz="0" w:space="0" w:color="auto"/>
        <w:left w:val="none" w:sz="0" w:space="0" w:color="auto"/>
        <w:bottom w:val="none" w:sz="0" w:space="0" w:color="auto"/>
        <w:right w:val="none" w:sz="0" w:space="0" w:color="auto"/>
      </w:divBdr>
    </w:div>
    <w:div w:id="1669871468">
      <w:bodyDiv w:val="1"/>
      <w:marLeft w:val="0"/>
      <w:marRight w:val="0"/>
      <w:marTop w:val="0"/>
      <w:marBottom w:val="0"/>
      <w:divBdr>
        <w:top w:val="none" w:sz="0" w:space="0" w:color="auto"/>
        <w:left w:val="none" w:sz="0" w:space="0" w:color="auto"/>
        <w:bottom w:val="none" w:sz="0" w:space="0" w:color="auto"/>
        <w:right w:val="none" w:sz="0" w:space="0" w:color="auto"/>
      </w:divBdr>
    </w:div>
    <w:div w:id="1673602851">
      <w:bodyDiv w:val="1"/>
      <w:marLeft w:val="0"/>
      <w:marRight w:val="0"/>
      <w:marTop w:val="0"/>
      <w:marBottom w:val="0"/>
      <w:divBdr>
        <w:top w:val="none" w:sz="0" w:space="0" w:color="auto"/>
        <w:left w:val="none" w:sz="0" w:space="0" w:color="auto"/>
        <w:bottom w:val="none" w:sz="0" w:space="0" w:color="auto"/>
        <w:right w:val="none" w:sz="0" w:space="0" w:color="auto"/>
      </w:divBdr>
    </w:div>
    <w:div w:id="1690983286">
      <w:bodyDiv w:val="1"/>
      <w:marLeft w:val="0"/>
      <w:marRight w:val="0"/>
      <w:marTop w:val="0"/>
      <w:marBottom w:val="0"/>
      <w:divBdr>
        <w:top w:val="none" w:sz="0" w:space="0" w:color="auto"/>
        <w:left w:val="none" w:sz="0" w:space="0" w:color="auto"/>
        <w:bottom w:val="none" w:sz="0" w:space="0" w:color="auto"/>
        <w:right w:val="none" w:sz="0" w:space="0" w:color="auto"/>
      </w:divBdr>
    </w:div>
    <w:div w:id="1698309119">
      <w:bodyDiv w:val="1"/>
      <w:marLeft w:val="0"/>
      <w:marRight w:val="0"/>
      <w:marTop w:val="0"/>
      <w:marBottom w:val="0"/>
      <w:divBdr>
        <w:top w:val="none" w:sz="0" w:space="0" w:color="auto"/>
        <w:left w:val="none" w:sz="0" w:space="0" w:color="auto"/>
        <w:bottom w:val="none" w:sz="0" w:space="0" w:color="auto"/>
        <w:right w:val="none" w:sz="0" w:space="0" w:color="auto"/>
      </w:divBdr>
    </w:div>
    <w:div w:id="1722824743">
      <w:bodyDiv w:val="1"/>
      <w:marLeft w:val="0"/>
      <w:marRight w:val="0"/>
      <w:marTop w:val="0"/>
      <w:marBottom w:val="0"/>
      <w:divBdr>
        <w:top w:val="none" w:sz="0" w:space="0" w:color="auto"/>
        <w:left w:val="none" w:sz="0" w:space="0" w:color="auto"/>
        <w:bottom w:val="none" w:sz="0" w:space="0" w:color="auto"/>
        <w:right w:val="none" w:sz="0" w:space="0" w:color="auto"/>
      </w:divBdr>
    </w:div>
    <w:div w:id="1723292027">
      <w:bodyDiv w:val="1"/>
      <w:marLeft w:val="0"/>
      <w:marRight w:val="0"/>
      <w:marTop w:val="0"/>
      <w:marBottom w:val="0"/>
      <w:divBdr>
        <w:top w:val="none" w:sz="0" w:space="0" w:color="auto"/>
        <w:left w:val="none" w:sz="0" w:space="0" w:color="auto"/>
        <w:bottom w:val="none" w:sz="0" w:space="0" w:color="auto"/>
        <w:right w:val="none" w:sz="0" w:space="0" w:color="auto"/>
      </w:divBdr>
    </w:div>
    <w:div w:id="1740785642">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781562462">
      <w:bodyDiv w:val="1"/>
      <w:marLeft w:val="0"/>
      <w:marRight w:val="0"/>
      <w:marTop w:val="0"/>
      <w:marBottom w:val="0"/>
      <w:divBdr>
        <w:top w:val="none" w:sz="0" w:space="0" w:color="auto"/>
        <w:left w:val="none" w:sz="0" w:space="0" w:color="auto"/>
        <w:bottom w:val="none" w:sz="0" w:space="0" w:color="auto"/>
        <w:right w:val="none" w:sz="0" w:space="0" w:color="auto"/>
      </w:divBdr>
    </w:div>
    <w:div w:id="1798987456">
      <w:bodyDiv w:val="1"/>
      <w:marLeft w:val="0"/>
      <w:marRight w:val="0"/>
      <w:marTop w:val="0"/>
      <w:marBottom w:val="0"/>
      <w:divBdr>
        <w:top w:val="none" w:sz="0" w:space="0" w:color="auto"/>
        <w:left w:val="none" w:sz="0" w:space="0" w:color="auto"/>
        <w:bottom w:val="none" w:sz="0" w:space="0" w:color="auto"/>
        <w:right w:val="none" w:sz="0" w:space="0" w:color="auto"/>
      </w:divBdr>
    </w:div>
    <w:div w:id="1808476746">
      <w:bodyDiv w:val="1"/>
      <w:marLeft w:val="0"/>
      <w:marRight w:val="0"/>
      <w:marTop w:val="0"/>
      <w:marBottom w:val="0"/>
      <w:divBdr>
        <w:top w:val="none" w:sz="0" w:space="0" w:color="auto"/>
        <w:left w:val="none" w:sz="0" w:space="0" w:color="auto"/>
        <w:bottom w:val="none" w:sz="0" w:space="0" w:color="auto"/>
        <w:right w:val="none" w:sz="0" w:space="0" w:color="auto"/>
      </w:divBdr>
    </w:div>
    <w:div w:id="1811820602">
      <w:bodyDiv w:val="1"/>
      <w:marLeft w:val="0"/>
      <w:marRight w:val="0"/>
      <w:marTop w:val="0"/>
      <w:marBottom w:val="0"/>
      <w:divBdr>
        <w:top w:val="none" w:sz="0" w:space="0" w:color="auto"/>
        <w:left w:val="none" w:sz="0" w:space="0" w:color="auto"/>
        <w:bottom w:val="none" w:sz="0" w:space="0" w:color="auto"/>
        <w:right w:val="none" w:sz="0" w:space="0" w:color="auto"/>
      </w:divBdr>
    </w:div>
    <w:div w:id="1819684460">
      <w:bodyDiv w:val="1"/>
      <w:marLeft w:val="0"/>
      <w:marRight w:val="0"/>
      <w:marTop w:val="0"/>
      <w:marBottom w:val="0"/>
      <w:divBdr>
        <w:top w:val="none" w:sz="0" w:space="0" w:color="auto"/>
        <w:left w:val="none" w:sz="0" w:space="0" w:color="auto"/>
        <w:bottom w:val="none" w:sz="0" w:space="0" w:color="auto"/>
        <w:right w:val="none" w:sz="0" w:space="0" w:color="auto"/>
      </w:divBdr>
    </w:div>
    <w:div w:id="1846362558">
      <w:bodyDiv w:val="1"/>
      <w:marLeft w:val="0"/>
      <w:marRight w:val="0"/>
      <w:marTop w:val="0"/>
      <w:marBottom w:val="0"/>
      <w:divBdr>
        <w:top w:val="none" w:sz="0" w:space="0" w:color="auto"/>
        <w:left w:val="none" w:sz="0" w:space="0" w:color="auto"/>
        <w:bottom w:val="none" w:sz="0" w:space="0" w:color="auto"/>
        <w:right w:val="none" w:sz="0" w:space="0" w:color="auto"/>
      </w:divBdr>
    </w:div>
    <w:div w:id="1848446486">
      <w:bodyDiv w:val="1"/>
      <w:marLeft w:val="0"/>
      <w:marRight w:val="0"/>
      <w:marTop w:val="0"/>
      <w:marBottom w:val="0"/>
      <w:divBdr>
        <w:top w:val="none" w:sz="0" w:space="0" w:color="auto"/>
        <w:left w:val="none" w:sz="0" w:space="0" w:color="auto"/>
        <w:bottom w:val="none" w:sz="0" w:space="0" w:color="auto"/>
        <w:right w:val="none" w:sz="0" w:space="0" w:color="auto"/>
      </w:divBdr>
    </w:div>
    <w:div w:id="1850486470">
      <w:bodyDiv w:val="1"/>
      <w:marLeft w:val="0"/>
      <w:marRight w:val="0"/>
      <w:marTop w:val="0"/>
      <w:marBottom w:val="0"/>
      <w:divBdr>
        <w:top w:val="none" w:sz="0" w:space="0" w:color="auto"/>
        <w:left w:val="none" w:sz="0" w:space="0" w:color="auto"/>
        <w:bottom w:val="none" w:sz="0" w:space="0" w:color="auto"/>
        <w:right w:val="none" w:sz="0" w:space="0" w:color="auto"/>
      </w:divBdr>
    </w:div>
    <w:div w:id="1859660360">
      <w:bodyDiv w:val="1"/>
      <w:marLeft w:val="0"/>
      <w:marRight w:val="0"/>
      <w:marTop w:val="0"/>
      <w:marBottom w:val="0"/>
      <w:divBdr>
        <w:top w:val="none" w:sz="0" w:space="0" w:color="auto"/>
        <w:left w:val="none" w:sz="0" w:space="0" w:color="auto"/>
        <w:bottom w:val="none" w:sz="0" w:space="0" w:color="auto"/>
        <w:right w:val="none" w:sz="0" w:space="0" w:color="auto"/>
      </w:divBdr>
    </w:div>
    <w:div w:id="1860197781">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17780872">
      <w:bodyDiv w:val="1"/>
      <w:marLeft w:val="0"/>
      <w:marRight w:val="0"/>
      <w:marTop w:val="0"/>
      <w:marBottom w:val="0"/>
      <w:divBdr>
        <w:top w:val="none" w:sz="0" w:space="0" w:color="auto"/>
        <w:left w:val="none" w:sz="0" w:space="0" w:color="auto"/>
        <w:bottom w:val="none" w:sz="0" w:space="0" w:color="auto"/>
        <w:right w:val="none" w:sz="0" w:space="0" w:color="auto"/>
      </w:divBdr>
    </w:div>
    <w:div w:id="1919896934">
      <w:bodyDiv w:val="1"/>
      <w:marLeft w:val="0"/>
      <w:marRight w:val="0"/>
      <w:marTop w:val="0"/>
      <w:marBottom w:val="0"/>
      <w:divBdr>
        <w:top w:val="none" w:sz="0" w:space="0" w:color="auto"/>
        <w:left w:val="none" w:sz="0" w:space="0" w:color="auto"/>
        <w:bottom w:val="none" w:sz="0" w:space="0" w:color="auto"/>
        <w:right w:val="none" w:sz="0" w:space="0" w:color="auto"/>
      </w:divBdr>
    </w:div>
    <w:div w:id="1938325278">
      <w:bodyDiv w:val="1"/>
      <w:marLeft w:val="0"/>
      <w:marRight w:val="0"/>
      <w:marTop w:val="0"/>
      <w:marBottom w:val="0"/>
      <w:divBdr>
        <w:top w:val="none" w:sz="0" w:space="0" w:color="auto"/>
        <w:left w:val="none" w:sz="0" w:space="0" w:color="auto"/>
        <w:bottom w:val="none" w:sz="0" w:space="0" w:color="auto"/>
        <w:right w:val="none" w:sz="0" w:space="0" w:color="auto"/>
      </w:divBdr>
    </w:div>
    <w:div w:id="1948270887">
      <w:bodyDiv w:val="1"/>
      <w:marLeft w:val="0"/>
      <w:marRight w:val="0"/>
      <w:marTop w:val="0"/>
      <w:marBottom w:val="0"/>
      <w:divBdr>
        <w:top w:val="none" w:sz="0" w:space="0" w:color="auto"/>
        <w:left w:val="none" w:sz="0" w:space="0" w:color="auto"/>
        <w:bottom w:val="none" w:sz="0" w:space="0" w:color="auto"/>
        <w:right w:val="none" w:sz="0" w:space="0" w:color="auto"/>
      </w:divBdr>
    </w:div>
    <w:div w:id="1952131652">
      <w:bodyDiv w:val="1"/>
      <w:marLeft w:val="0"/>
      <w:marRight w:val="0"/>
      <w:marTop w:val="0"/>
      <w:marBottom w:val="0"/>
      <w:divBdr>
        <w:top w:val="none" w:sz="0" w:space="0" w:color="auto"/>
        <w:left w:val="none" w:sz="0" w:space="0" w:color="auto"/>
        <w:bottom w:val="none" w:sz="0" w:space="0" w:color="auto"/>
        <w:right w:val="none" w:sz="0" w:space="0" w:color="auto"/>
      </w:divBdr>
    </w:div>
    <w:div w:id="1955138424">
      <w:bodyDiv w:val="1"/>
      <w:marLeft w:val="0"/>
      <w:marRight w:val="0"/>
      <w:marTop w:val="0"/>
      <w:marBottom w:val="0"/>
      <w:divBdr>
        <w:top w:val="none" w:sz="0" w:space="0" w:color="auto"/>
        <w:left w:val="none" w:sz="0" w:space="0" w:color="auto"/>
        <w:bottom w:val="none" w:sz="0" w:space="0" w:color="auto"/>
        <w:right w:val="none" w:sz="0" w:space="0" w:color="auto"/>
      </w:divBdr>
    </w:div>
    <w:div w:id="1959408522">
      <w:bodyDiv w:val="1"/>
      <w:marLeft w:val="0"/>
      <w:marRight w:val="0"/>
      <w:marTop w:val="0"/>
      <w:marBottom w:val="0"/>
      <w:divBdr>
        <w:top w:val="none" w:sz="0" w:space="0" w:color="auto"/>
        <w:left w:val="none" w:sz="0" w:space="0" w:color="auto"/>
        <w:bottom w:val="none" w:sz="0" w:space="0" w:color="auto"/>
        <w:right w:val="none" w:sz="0" w:space="0" w:color="auto"/>
      </w:divBdr>
    </w:div>
    <w:div w:id="1960062219">
      <w:bodyDiv w:val="1"/>
      <w:marLeft w:val="0"/>
      <w:marRight w:val="0"/>
      <w:marTop w:val="0"/>
      <w:marBottom w:val="0"/>
      <w:divBdr>
        <w:top w:val="none" w:sz="0" w:space="0" w:color="auto"/>
        <w:left w:val="none" w:sz="0" w:space="0" w:color="auto"/>
        <w:bottom w:val="none" w:sz="0" w:space="0" w:color="auto"/>
        <w:right w:val="none" w:sz="0" w:space="0" w:color="auto"/>
      </w:divBdr>
    </w:div>
    <w:div w:id="1973093098">
      <w:bodyDiv w:val="1"/>
      <w:marLeft w:val="0"/>
      <w:marRight w:val="0"/>
      <w:marTop w:val="0"/>
      <w:marBottom w:val="0"/>
      <w:divBdr>
        <w:top w:val="none" w:sz="0" w:space="0" w:color="auto"/>
        <w:left w:val="none" w:sz="0" w:space="0" w:color="auto"/>
        <w:bottom w:val="none" w:sz="0" w:space="0" w:color="auto"/>
        <w:right w:val="none" w:sz="0" w:space="0" w:color="auto"/>
      </w:divBdr>
    </w:div>
    <w:div w:id="1974561421">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1995331236">
      <w:bodyDiv w:val="1"/>
      <w:marLeft w:val="0"/>
      <w:marRight w:val="0"/>
      <w:marTop w:val="0"/>
      <w:marBottom w:val="0"/>
      <w:divBdr>
        <w:top w:val="none" w:sz="0" w:space="0" w:color="auto"/>
        <w:left w:val="none" w:sz="0" w:space="0" w:color="auto"/>
        <w:bottom w:val="none" w:sz="0" w:space="0" w:color="auto"/>
        <w:right w:val="none" w:sz="0" w:space="0" w:color="auto"/>
      </w:divBdr>
    </w:div>
    <w:div w:id="2012297582">
      <w:bodyDiv w:val="1"/>
      <w:marLeft w:val="0"/>
      <w:marRight w:val="0"/>
      <w:marTop w:val="0"/>
      <w:marBottom w:val="0"/>
      <w:divBdr>
        <w:top w:val="none" w:sz="0" w:space="0" w:color="auto"/>
        <w:left w:val="none" w:sz="0" w:space="0" w:color="auto"/>
        <w:bottom w:val="none" w:sz="0" w:space="0" w:color="auto"/>
        <w:right w:val="none" w:sz="0" w:space="0" w:color="auto"/>
      </w:divBdr>
    </w:div>
    <w:div w:id="2017612063">
      <w:bodyDiv w:val="1"/>
      <w:marLeft w:val="0"/>
      <w:marRight w:val="0"/>
      <w:marTop w:val="0"/>
      <w:marBottom w:val="0"/>
      <w:divBdr>
        <w:top w:val="none" w:sz="0" w:space="0" w:color="auto"/>
        <w:left w:val="none" w:sz="0" w:space="0" w:color="auto"/>
        <w:bottom w:val="none" w:sz="0" w:space="0" w:color="auto"/>
        <w:right w:val="none" w:sz="0" w:space="0" w:color="auto"/>
      </w:divBdr>
    </w:div>
    <w:div w:id="2020227684">
      <w:bodyDiv w:val="1"/>
      <w:marLeft w:val="0"/>
      <w:marRight w:val="0"/>
      <w:marTop w:val="0"/>
      <w:marBottom w:val="0"/>
      <w:divBdr>
        <w:top w:val="none" w:sz="0" w:space="0" w:color="auto"/>
        <w:left w:val="none" w:sz="0" w:space="0" w:color="auto"/>
        <w:bottom w:val="none" w:sz="0" w:space="0" w:color="auto"/>
        <w:right w:val="none" w:sz="0" w:space="0" w:color="auto"/>
      </w:divBdr>
    </w:div>
    <w:div w:id="2027562930">
      <w:bodyDiv w:val="1"/>
      <w:marLeft w:val="0"/>
      <w:marRight w:val="0"/>
      <w:marTop w:val="0"/>
      <w:marBottom w:val="0"/>
      <w:divBdr>
        <w:top w:val="none" w:sz="0" w:space="0" w:color="auto"/>
        <w:left w:val="none" w:sz="0" w:space="0" w:color="auto"/>
        <w:bottom w:val="none" w:sz="0" w:space="0" w:color="auto"/>
        <w:right w:val="none" w:sz="0" w:space="0" w:color="auto"/>
      </w:divBdr>
    </w:div>
    <w:div w:id="2050759357">
      <w:bodyDiv w:val="1"/>
      <w:marLeft w:val="0"/>
      <w:marRight w:val="0"/>
      <w:marTop w:val="0"/>
      <w:marBottom w:val="0"/>
      <w:divBdr>
        <w:top w:val="none" w:sz="0" w:space="0" w:color="auto"/>
        <w:left w:val="none" w:sz="0" w:space="0" w:color="auto"/>
        <w:bottom w:val="none" w:sz="0" w:space="0" w:color="auto"/>
        <w:right w:val="none" w:sz="0" w:space="0" w:color="auto"/>
      </w:divBdr>
    </w:div>
    <w:div w:id="2059544396">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 w:id="2073042643">
      <w:bodyDiv w:val="1"/>
      <w:marLeft w:val="0"/>
      <w:marRight w:val="0"/>
      <w:marTop w:val="0"/>
      <w:marBottom w:val="0"/>
      <w:divBdr>
        <w:top w:val="none" w:sz="0" w:space="0" w:color="auto"/>
        <w:left w:val="none" w:sz="0" w:space="0" w:color="auto"/>
        <w:bottom w:val="none" w:sz="0" w:space="0" w:color="auto"/>
        <w:right w:val="none" w:sz="0" w:space="0" w:color="auto"/>
      </w:divBdr>
    </w:div>
    <w:div w:id="2077504644">
      <w:bodyDiv w:val="1"/>
      <w:marLeft w:val="0"/>
      <w:marRight w:val="0"/>
      <w:marTop w:val="0"/>
      <w:marBottom w:val="0"/>
      <w:divBdr>
        <w:top w:val="none" w:sz="0" w:space="0" w:color="auto"/>
        <w:left w:val="none" w:sz="0" w:space="0" w:color="auto"/>
        <w:bottom w:val="none" w:sz="0" w:space="0" w:color="auto"/>
        <w:right w:val="none" w:sz="0" w:space="0" w:color="auto"/>
      </w:divBdr>
    </w:div>
    <w:div w:id="2079663905">
      <w:bodyDiv w:val="1"/>
      <w:marLeft w:val="0"/>
      <w:marRight w:val="0"/>
      <w:marTop w:val="0"/>
      <w:marBottom w:val="0"/>
      <w:divBdr>
        <w:top w:val="none" w:sz="0" w:space="0" w:color="auto"/>
        <w:left w:val="none" w:sz="0" w:space="0" w:color="auto"/>
        <w:bottom w:val="none" w:sz="0" w:space="0" w:color="auto"/>
        <w:right w:val="none" w:sz="0" w:space="0" w:color="auto"/>
      </w:divBdr>
    </w:div>
    <w:div w:id="2088072739">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19835281">
      <w:bodyDiv w:val="1"/>
      <w:marLeft w:val="0"/>
      <w:marRight w:val="0"/>
      <w:marTop w:val="0"/>
      <w:marBottom w:val="0"/>
      <w:divBdr>
        <w:top w:val="none" w:sz="0" w:space="0" w:color="auto"/>
        <w:left w:val="none" w:sz="0" w:space="0" w:color="auto"/>
        <w:bottom w:val="none" w:sz="0" w:space="0" w:color="auto"/>
        <w:right w:val="none" w:sz="0" w:space="0" w:color="auto"/>
      </w:divBdr>
    </w:div>
    <w:div w:id="2128696675">
      <w:bodyDiv w:val="1"/>
      <w:marLeft w:val="0"/>
      <w:marRight w:val="0"/>
      <w:marTop w:val="0"/>
      <w:marBottom w:val="0"/>
      <w:divBdr>
        <w:top w:val="none" w:sz="0" w:space="0" w:color="auto"/>
        <w:left w:val="none" w:sz="0" w:space="0" w:color="auto"/>
        <w:bottom w:val="none" w:sz="0" w:space="0" w:color="auto"/>
        <w:right w:val="none" w:sz="0" w:space="0" w:color="auto"/>
      </w:divBdr>
    </w:div>
    <w:div w:id="21411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RAGON\Desktop\2024\TRIMESTRAL\4to%20Trimestre\graficos-%204to.Trimestre%2020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RAGON\Desktop\2024\TRIMESTRAL\3er.%20Trimestre%202024\graficos-%203er.Trimestre%20202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82722989772165"/>
          <c:y val="0.24857365686383612"/>
          <c:w val="0.72661865341465148"/>
          <c:h val="0.6224263164910061"/>
        </c:manualLayout>
      </c:layout>
      <c:barChart>
        <c:barDir val="col"/>
        <c:grouping val="clustered"/>
        <c:varyColors val="0"/>
        <c:ser>
          <c:idx val="0"/>
          <c:order val="0"/>
          <c:spPr>
            <a:solidFill>
              <a:srgbClr val="DD4FAA"/>
            </a:solidFill>
          </c:spPr>
          <c:invertIfNegative val="0"/>
          <c:dPt>
            <c:idx val="0"/>
            <c:invertIfNegative val="0"/>
            <c:bubble3D val="0"/>
            <c:spPr>
              <a:solidFill>
                <a:srgbClr val="D20055"/>
              </a:solidFill>
              <a:ln>
                <a:solidFill>
                  <a:srgbClr val="BE2853"/>
                </a:solidFill>
              </a:ln>
            </c:spPr>
            <c:extLst>
              <c:ext xmlns:c16="http://schemas.microsoft.com/office/drawing/2014/chart" uri="{C3380CC4-5D6E-409C-BE32-E72D297353CC}">
                <c16:uniqueId val="{00000001-1EB9-40BF-89B3-D708D91249F5}"/>
              </c:ext>
            </c:extLst>
          </c:dPt>
          <c:dPt>
            <c:idx val="1"/>
            <c:invertIfNegative val="0"/>
            <c:bubble3D val="0"/>
            <c:extLst>
              <c:ext xmlns:c16="http://schemas.microsoft.com/office/drawing/2014/chart" uri="{C3380CC4-5D6E-409C-BE32-E72D297353CC}">
                <c16:uniqueId val="{00000002-1EB9-40BF-89B3-D708D91249F5}"/>
              </c:ext>
            </c:extLst>
          </c:dPt>
          <c:dLbls>
            <c:dLbl>
              <c:idx val="0"/>
              <c:layout>
                <c:manualLayout>
                  <c:x val="2.8248587570621469E-2"/>
                  <c:y val="-4.8573154038475293E-3"/>
                </c:manualLayout>
              </c:layout>
              <c:spPr/>
              <c:txPr>
                <a:bodyPr/>
                <a:lstStyle/>
                <a:p>
                  <a:pPr>
                    <a:defRPr b="1"/>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B9-40BF-89B3-D708D91249F5}"/>
                </c:ext>
              </c:extLst>
            </c:dLbl>
            <c:dLbl>
              <c:idx val="1"/>
              <c:layout>
                <c:manualLayout>
                  <c:x val="2.6365348399246705E-2"/>
                  <c:y val="-4.8573154038475293E-3"/>
                </c:manualLayout>
              </c:layout>
              <c:spPr/>
              <c:txPr>
                <a:bodyPr/>
                <a:lstStyle/>
                <a:p>
                  <a:pPr>
                    <a:defRPr b="1"/>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B9-40BF-89B3-D708D91249F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auditoria!$A$4:$A$5</c:f>
              <c:strCache>
                <c:ptCount val="2"/>
                <c:pt idx="0">
                  <c:v>Realizados</c:v>
                </c:pt>
                <c:pt idx="1">
                  <c:v>Programados</c:v>
                </c:pt>
              </c:strCache>
            </c:strRef>
          </c:cat>
          <c:val>
            <c:numRef>
              <c:f>auditoria!$B$4:$B$5</c:f>
              <c:numCache>
                <c:formatCode>General</c:formatCode>
                <c:ptCount val="2"/>
                <c:pt idx="0">
                  <c:v>523</c:v>
                </c:pt>
                <c:pt idx="1">
                  <c:v>345</c:v>
                </c:pt>
              </c:numCache>
            </c:numRef>
          </c:val>
          <c:extLst>
            <c:ext xmlns:c16="http://schemas.microsoft.com/office/drawing/2014/chart" uri="{C3380CC4-5D6E-409C-BE32-E72D297353CC}">
              <c16:uniqueId val="{00000003-1EB9-40BF-89B3-D708D91249F5}"/>
            </c:ext>
          </c:extLst>
        </c:ser>
        <c:dLbls>
          <c:showLegendKey val="0"/>
          <c:showVal val="0"/>
          <c:showCatName val="0"/>
          <c:showSerName val="0"/>
          <c:showPercent val="0"/>
          <c:showBubbleSize val="0"/>
        </c:dLbls>
        <c:gapWidth val="150"/>
        <c:axId val="-276919472"/>
        <c:axId val="-276926544"/>
      </c:barChart>
      <c:catAx>
        <c:axId val="-276919472"/>
        <c:scaling>
          <c:orientation val="minMax"/>
        </c:scaling>
        <c:delete val="0"/>
        <c:axPos val="b"/>
        <c:numFmt formatCode="General" sourceLinked="0"/>
        <c:majorTickMark val="out"/>
        <c:minorTickMark val="none"/>
        <c:tickLblPos val="nextTo"/>
        <c:crossAx val="-276926544"/>
        <c:crosses val="autoZero"/>
        <c:auto val="0"/>
        <c:lblAlgn val="ctr"/>
        <c:lblOffset val="100"/>
        <c:noMultiLvlLbl val="0"/>
      </c:catAx>
      <c:valAx>
        <c:axId val="-276926544"/>
        <c:scaling>
          <c:orientation val="minMax"/>
          <c:min val="0"/>
        </c:scaling>
        <c:delete val="1"/>
        <c:axPos val="l"/>
        <c:numFmt formatCode="General" sourceLinked="1"/>
        <c:majorTickMark val="out"/>
        <c:minorTickMark val="none"/>
        <c:tickLblPos val="nextTo"/>
        <c:crossAx val="-276919472"/>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68782047939371"/>
          <c:y val="0.2467508297000065"/>
          <c:w val="0.59501626610148728"/>
          <c:h val="0.55889731274685728"/>
        </c:manualLayout>
      </c:layout>
      <c:barChart>
        <c:barDir val="bar"/>
        <c:grouping val="stacked"/>
        <c:varyColors val="0"/>
        <c:ser>
          <c:idx val="0"/>
          <c:order val="0"/>
          <c:invertIfNegative val="0"/>
          <c:dPt>
            <c:idx val="0"/>
            <c:invertIfNegative val="0"/>
            <c:bubble3D val="0"/>
            <c:spPr>
              <a:solidFill>
                <a:srgbClr val="D20055"/>
              </a:solidFill>
            </c:spPr>
            <c:extLst>
              <c:ext xmlns:c16="http://schemas.microsoft.com/office/drawing/2014/chart" uri="{C3380CC4-5D6E-409C-BE32-E72D297353CC}">
                <c16:uniqueId val="{00000001-93CF-4C7A-9C59-D8DADF9A66FD}"/>
              </c:ext>
            </c:extLst>
          </c:dPt>
          <c:dPt>
            <c:idx val="1"/>
            <c:invertIfNegative val="0"/>
            <c:bubble3D val="0"/>
            <c:spPr>
              <a:solidFill>
                <a:srgbClr val="DD4FAA"/>
              </a:solidFill>
            </c:spPr>
            <c:extLst>
              <c:ext xmlns:c16="http://schemas.microsoft.com/office/drawing/2014/chart" uri="{C3380CC4-5D6E-409C-BE32-E72D297353CC}">
                <c16:uniqueId val="{00000003-93CF-4C7A-9C59-D8DADF9A66FD}"/>
              </c:ext>
            </c:extLst>
          </c:dPt>
          <c:dLbls>
            <c:dLbl>
              <c:idx val="0"/>
              <c:layout>
                <c:manualLayout>
                  <c:x val="0.29322226278006641"/>
                  <c:y val="1.2984533958047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CF-4C7A-9C59-D8DADF9A66FD}"/>
                </c:ext>
              </c:extLst>
            </c:dLbl>
            <c:dLbl>
              <c:idx val="1"/>
              <c:layout>
                <c:manualLayout>
                  <c:x val="0.2842474492013001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CF-4C7A-9C59-D8DADF9A66FD}"/>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auditoria!$A$16:$A$17</c:f>
              <c:strCache>
                <c:ptCount val="2"/>
                <c:pt idx="0">
                  <c:v>Realizados</c:v>
                </c:pt>
                <c:pt idx="1">
                  <c:v>Programados</c:v>
                </c:pt>
              </c:strCache>
            </c:strRef>
          </c:cat>
          <c:val>
            <c:numRef>
              <c:f>auditoria!$B$16:$B$17</c:f>
              <c:numCache>
                <c:formatCode>General</c:formatCode>
                <c:ptCount val="2"/>
                <c:pt idx="0">
                  <c:v>12</c:v>
                </c:pt>
                <c:pt idx="1">
                  <c:v>12</c:v>
                </c:pt>
              </c:numCache>
            </c:numRef>
          </c:val>
          <c:extLst>
            <c:ext xmlns:c16="http://schemas.microsoft.com/office/drawing/2014/chart" uri="{C3380CC4-5D6E-409C-BE32-E72D297353CC}">
              <c16:uniqueId val="{00000004-93CF-4C7A-9C59-D8DADF9A66FD}"/>
            </c:ext>
          </c:extLst>
        </c:ser>
        <c:dLbls>
          <c:showLegendKey val="0"/>
          <c:showVal val="0"/>
          <c:showCatName val="0"/>
          <c:showSerName val="0"/>
          <c:showPercent val="0"/>
          <c:showBubbleSize val="0"/>
        </c:dLbls>
        <c:gapWidth val="150"/>
        <c:overlap val="100"/>
        <c:axId val="-276918928"/>
        <c:axId val="-276921104"/>
      </c:barChart>
      <c:catAx>
        <c:axId val="-276918928"/>
        <c:scaling>
          <c:orientation val="minMax"/>
        </c:scaling>
        <c:delete val="0"/>
        <c:axPos val="l"/>
        <c:numFmt formatCode="General" sourceLinked="0"/>
        <c:majorTickMark val="out"/>
        <c:minorTickMark val="none"/>
        <c:tickLblPos val="nextTo"/>
        <c:crossAx val="-276921104"/>
        <c:crosses val="autoZero"/>
        <c:auto val="1"/>
        <c:lblAlgn val="ctr"/>
        <c:lblOffset val="100"/>
        <c:noMultiLvlLbl val="0"/>
      </c:catAx>
      <c:valAx>
        <c:axId val="-276921104"/>
        <c:scaling>
          <c:orientation val="minMax"/>
          <c:min val="0"/>
        </c:scaling>
        <c:delete val="1"/>
        <c:axPos val="b"/>
        <c:numFmt formatCode="General" sourceLinked="1"/>
        <c:majorTickMark val="out"/>
        <c:minorTickMark val="none"/>
        <c:tickLblPos val="nextTo"/>
        <c:crossAx val="-2769189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D8526-E8A3-4019-9B6E-5A3D2E0B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70</Pages>
  <Words>18387</Words>
  <Characters>101131</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César Romero</cp:lastModifiedBy>
  <cp:revision>22</cp:revision>
  <cp:lastPrinted>2025-03-13T22:37:00Z</cp:lastPrinted>
  <dcterms:created xsi:type="dcterms:W3CDTF">2025-01-21T22:12:00Z</dcterms:created>
  <dcterms:modified xsi:type="dcterms:W3CDTF">2025-03-14T22:37:00Z</dcterms:modified>
</cp:coreProperties>
</file>